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4112B174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(RdO) a inviti tramite MePA, ai sensi dell’art. 50, comma 1, lett. e),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 della fornitura delle licenze</w:t>
      </w:r>
      <w:r w:rsidR="003B24E2">
        <w:rPr>
          <w:rFonts w:ascii="Calibri" w:hAnsi="Calibri" w:cs="Calibri"/>
          <w:b/>
        </w:rPr>
        <w:t xml:space="preserve"> Software</w:t>
      </w:r>
      <w:r w:rsidRPr="004B57DC">
        <w:rPr>
          <w:rFonts w:ascii="Calibri" w:hAnsi="Calibri" w:cs="Calibri"/>
          <w:b/>
        </w:rPr>
        <w:t xml:space="preserve"> Palo Alto Networks Firewall per la Cassa per i Servizi Energetici e Ambientali – CSEA- CIG 995591267C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nato/a  a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97089"/>
    <w:rsid w:val="006D45FB"/>
    <w:rsid w:val="00707492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15</cp:revision>
  <dcterms:created xsi:type="dcterms:W3CDTF">2022-04-21T09:02:00Z</dcterms:created>
  <dcterms:modified xsi:type="dcterms:W3CDTF">2023-07-12T06:48:00Z</dcterms:modified>
</cp:coreProperties>
</file>