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1D2FCADD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326D70" w:rsidRPr="00C71C1E">
        <w:rPr>
          <w:rFonts w:cstheme="minorHAnsi"/>
          <w:b/>
          <w:bCs/>
        </w:rPr>
        <w:t>3</w:t>
      </w:r>
    </w:p>
    <w:p w14:paraId="12153611" w14:textId="77777777" w:rsidR="001B4CB0" w:rsidRDefault="001B4CB0" w:rsidP="00A077B1">
      <w:pPr>
        <w:jc w:val="both"/>
        <w:rPr>
          <w:rFonts w:ascii="Garamond" w:hAnsi="Garamond" w:cs="Arial"/>
          <w:lang w:bidi="it-IT"/>
        </w:rPr>
      </w:pPr>
    </w:p>
    <w:p w14:paraId="2D4B931A" w14:textId="7C99D881" w:rsidR="009E223D" w:rsidRPr="000B1488" w:rsidRDefault="00A077B1" w:rsidP="000B1488">
      <w:pPr>
        <w:spacing w:after="0" w:line="276" w:lineRule="auto"/>
        <w:ind w:right="-59"/>
        <w:jc w:val="both"/>
        <w:rPr>
          <w:rFonts w:cstheme="minorHAnsi"/>
          <w:b/>
          <w:bCs/>
        </w:rPr>
      </w:pPr>
      <w:r w:rsidRPr="000B1488">
        <w:rPr>
          <w:rFonts w:ascii="Calibri" w:eastAsia="Calibri" w:hAnsi="Calibri" w:cs="Times New Roman"/>
          <w:b/>
          <w:bCs/>
        </w:rPr>
        <w:t>Oggetto:</w:t>
      </w:r>
      <w:r w:rsidR="000B1488" w:rsidRPr="000B1488">
        <w:rPr>
          <w:rFonts w:ascii="CIDFont+F2" w:hAnsi="CIDFont+F2" w:cs="CIDFont+F2"/>
          <w:b/>
          <w:bCs/>
        </w:rPr>
        <w:t xml:space="preserve"> </w:t>
      </w:r>
      <w:r w:rsidR="000B1488" w:rsidRPr="000B1488">
        <w:rPr>
          <w:rFonts w:cstheme="minorHAnsi"/>
          <w:b/>
          <w:bCs/>
        </w:rPr>
        <w:t xml:space="preserve">Procedura negoziata ai sensi dell’art. 36 co. 2 lett. b), del </w:t>
      </w:r>
      <w:proofErr w:type="spellStart"/>
      <w:r w:rsidR="000B1488" w:rsidRPr="000B1488">
        <w:rPr>
          <w:rFonts w:cstheme="minorHAnsi"/>
          <w:b/>
          <w:bCs/>
        </w:rPr>
        <w:t>D.lgs</w:t>
      </w:r>
      <w:proofErr w:type="spellEnd"/>
      <w:r w:rsidR="000B1488" w:rsidRPr="000B1488">
        <w:rPr>
          <w:rFonts w:cstheme="minorHAnsi"/>
          <w:b/>
          <w:bCs/>
        </w:rPr>
        <w:t xml:space="preserve"> n. 50/2016 per l’affidamento del servizio di definizione di un</w:t>
      </w:r>
      <w:r w:rsidR="00326D70" w:rsidRPr="000B1488">
        <w:rPr>
          <w:rFonts w:eastAsia="Calibri" w:cstheme="minorHAnsi"/>
          <w:b/>
          <w:bCs/>
        </w:rPr>
        <w:t xml:space="preserve"> </w:t>
      </w:r>
      <w:r w:rsidR="000B1488" w:rsidRPr="000B1488">
        <w:rPr>
          <w:rStyle w:val="Enfasigrassetto"/>
          <w:rFonts w:cstheme="minorHAnsi"/>
        </w:rPr>
        <w:t xml:space="preserve">meccanismo di revisione periodica delle condizioni retributive del personale dirigente della CSEA – </w:t>
      </w:r>
      <w:r w:rsidR="000B1488" w:rsidRPr="00B34E68">
        <w:rPr>
          <w:b/>
          <w:bCs/>
        </w:rPr>
        <w:t>SMART CIG</w:t>
      </w:r>
      <w:r w:rsidR="000B1488" w:rsidRPr="00B34E68">
        <w:t xml:space="preserve"> </w:t>
      </w:r>
      <w:r w:rsidR="00B34E68" w:rsidRPr="00B34E68">
        <w:rPr>
          <w:rFonts w:cstheme="minorHAnsi"/>
          <w:b/>
          <w:bCs/>
        </w:rPr>
        <w:t>Z7C399965C</w:t>
      </w:r>
    </w:p>
    <w:p w14:paraId="465EE026" w14:textId="2B165D9F" w:rsidR="00326D70" w:rsidRDefault="00326D70" w:rsidP="001B4CB0">
      <w:pPr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FB130E2" w14:textId="77777777" w:rsidR="001B4CB0" w:rsidRDefault="001B4CB0" w:rsidP="001B4CB0">
      <w:pPr>
        <w:spacing w:before="64" w:after="0"/>
        <w:ind w:left="2149" w:right="2223"/>
        <w:jc w:val="center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 xml:space="preserve">- false comunicazioni sociali di cui agli articoli 2621 e 2622 del </w:t>
      </w:r>
      <w:proofErr w:type="gramStart"/>
      <w:r w:rsidRPr="00C71C1E">
        <w:rPr>
          <w:rFonts w:asciiTheme="minorHAnsi" w:hAnsiTheme="minorHAnsi" w:cstheme="minorHAnsi"/>
        </w:rPr>
        <w:t>codice civile</w:t>
      </w:r>
      <w:proofErr w:type="gramEnd"/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1193D58C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0B1488">
        <w:rPr>
          <w:rFonts w:cstheme="minorHAnsi"/>
        </w:rPr>
        <w:t xml:space="preserve"> 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52230CB7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0B1488">
        <w:rPr>
          <w:rFonts w:cstheme="minorHAnsi"/>
          <w:b/>
          <w:bCs/>
        </w:rPr>
        <w:t xml:space="preserve">   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238" w14:textId="77777777" w:rsidR="001365C3" w:rsidRDefault="001365C3" w:rsidP="00A077B1">
      <w:pPr>
        <w:spacing w:after="0" w:line="240" w:lineRule="auto"/>
      </w:pPr>
      <w:r>
        <w:separator/>
      </w:r>
    </w:p>
  </w:endnote>
  <w:endnote w:type="continuationSeparator" w:id="0">
    <w:p w14:paraId="062A4880" w14:textId="77777777" w:rsidR="001365C3" w:rsidRDefault="001365C3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432" w14:textId="77777777" w:rsidR="001365C3" w:rsidRDefault="001365C3" w:rsidP="00A077B1">
      <w:pPr>
        <w:spacing w:after="0" w:line="240" w:lineRule="auto"/>
      </w:pPr>
      <w:r>
        <w:separator/>
      </w:r>
    </w:p>
  </w:footnote>
  <w:footnote w:type="continuationSeparator" w:id="0">
    <w:p w14:paraId="4ADAE6C9" w14:textId="77777777" w:rsidR="001365C3" w:rsidRDefault="001365C3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0B1488"/>
    <w:rsid w:val="001365C3"/>
    <w:rsid w:val="001A027D"/>
    <w:rsid w:val="001B4CB0"/>
    <w:rsid w:val="002E5875"/>
    <w:rsid w:val="00326D70"/>
    <w:rsid w:val="0037179F"/>
    <w:rsid w:val="005E739E"/>
    <w:rsid w:val="00697089"/>
    <w:rsid w:val="006D45FB"/>
    <w:rsid w:val="00890F1A"/>
    <w:rsid w:val="009E223D"/>
    <w:rsid w:val="00A077B1"/>
    <w:rsid w:val="00AA7C78"/>
    <w:rsid w:val="00AC51DE"/>
    <w:rsid w:val="00B34E68"/>
    <w:rsid w:val="00B7155F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10</cp:revision>
  <dcterms:created xsi:type="dcterms:W3CDTF">2022-04-21T09:02:00Z</dcterms:created>
  <dcterms:modified xsi:type="dcterms:W3CDTF">2023-01-20T14:44:00Z</dcterms:modified>
</cp:coreProperties>
</file>