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DB6A6" w14:textId="51FDCCF9" w:rsidR="00C41162" w:rsidRDefault="00184306" w:rsidP="00BF1BDA">
      <w:pPr>
        <w:pStyle w:val="Titolo1"/>
        <w:jc w:val="center"/>
        <w:rPr>
          <w:rFonts w:asciiTheme="minorHAnsi" w:hAnsiTheme="minorHAnsi" w:cstheme="minorHAnsi"/>
        </w:rPr>
      </w:pPr>
      <w:r w:rsidRPr="00BF1BDA">
        <w:rPr>
          <w:rFonts w:asciiTheme="minorHAnsi" w:hAnsiTheme="minorHAnsi" w:cstheme="minorHAnsi"/>
        </w:rPr>
        <w:t>Allegato A - Domanda di partecipazione</w:t>
      </w:r>
    </w:p>
    <w:p w14:paraId="10AD5044" w14:textId="77777777" w:rsidR="00BF1BDA" w:rsidRPr="00BF1BDA" w:rsidRDefault="00BF1BDA" w:rsidP="00BF1BDA"/>
    <w:p w14:paraId="23D3E0DE" w14:textId="6A1B1E0C" w:rsidR="00BF1BDA" w:rsidRDefault="00BF1BDA" w:rsidP="00BF1BDA">
      <w:pPr>
        <w:jc w:val="center"/>
        <w:rPr>
          <w:rFonts w:eastAsiaTheme="majorEastAsia" w:cstheme="minorHAnsi"/>
          <w:color w:val="2E74B5" w:themeColor="accent1" w:themeShade="BF"/>
          <w:sz w:val="28"/>
          <w:szCs w:val="28"/>
        </w:rPr>
      </w:pPr>
      <w:r w:rsidRPr="00BF1BDA">
        <w:rPr>
          <w:rFonts w:eastAsiaTheme="majorEastAsia" w:cstheme="minorHAnsi"/>
          <w:color w:val="2E74B5" w:themeColor="accent1" w:themeShade="BF"/>
          <w:sz w:val="28"/>
          <w:szCs w:val="28"/>
        </w:rPr>
        <w:t>Affidamento dei Servizi di Evoluzione del Sistema Informativo della CSEA</w:t>
      </w:r>
    </w:p>
    <w:p w14:paraId="7D7DACEA" w14:textId="3A790931" w:rsidR="00FA4C47" w:rsidRPr="00BF1BDA" w:rsidRDefault="00BF1BDA" w:rsidP="00BF1BDA">
      <w:pPr>
        <w:jc w:val="center"/>
        <w:rPr>
          <w:rFonts w:eastAsiaTheme="majorEastAsia" w:cstheme="minorHAnsi"/>
          <w:color w:val="2E74B5" w:themeColor="accent1" w:themeShade="BF"/>
          <w:sz w:val="28"/>
          <w:szCs w:val="28"/>
        </w:rPr>
      </w:pPr>
      <w:r w:rsidRPr="00933C16">
        <w:rPr>
          <w:rFonts w:eastAsiaTheme="majorEastAsia" w:cstheme="minorHAnsi"/>
          <w:color w:val="2E74B5" w:themeColor="accent1" w:themeShade="BF"/>
          <w:sz w:val="28"/>
          <w:szCs w:val="28"/>
        </w:rPr>
        <w:t>CIG</w:t>
      </w:r>
      <w:r w:rsidR="00703FB4" w:rsidRPr="00933C16">
        <w:rPr>
          <w:rFonts w:eastAsiaTheme="majorEastAsia" w:cstheme="minorHAnsi"/>
          <w:color w:val="2E74B5" w:themeColor="accent1" w:themeShade="BF"/>
          <w:sz w:val="28"/>
          <w:szCs w:val="28"/>
        </w:rPr>
        <w:t xml:space="preserve"> </w:t>
      </w:r>
      <w:r w:rsidR="00933C16" w:rsidRPr="00933C16">
        <w:rPr>
          <w:rFonts w:eastAsiaTheme="majorEastAsia" w:cstheme="minorHAnsi"/>
          <w:color w:val="2E74B5" w:themeColor="accent1" w:themeShade="BF"/>
          <w:sz w:val="28"/>
          <w:szCs w:val="28"/>
        </w:rPr>
        <w:t>B95F432287</w:t>
      </w: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099D3A63"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77777777" w:rsidR="000B2CC0" w:rsidRPr="006533B7" w:rsidRDefault="000B2CC0">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lastRenderedPageBreak/>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lastRenderedPageBreak/>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472B27E9"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935713">
        <w:rPr>
          <w:rFonts w:eastAsia="Calibri" w:cs="Calibri"/>
          <w:sz w:val="20"/>
          <w:szCs w:val="20"/>
          <w:lang w:eastAsia="it-IT"/>
        </w:rPr>
        <w:t>.</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FA4C47" w:rsidRDefault="00062E83" w:rsidP="00DB78F3">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10FBEC12" w14:textId="08255BCD" w:rsidR="00541130" w:rsidRPr="00541130"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201C7AB6" w:rsidR="00907E41" w:rsidRPr="004E18CE"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proofErr w:type="gramStart"/>
      <w:r w:rsidRPr="006533B7">
        <w:rPr>
          <w:sz w:val="20"/>
          <w:szCs w:val="20"/>
        </w:rPr>
        <w:t>▪</w:t>
      </w:r>
      <w:r w:rsidR="000A1573">
        <w:rPr>
          <w:sz w:val="20"/>
          <w:szCs w:val="20"/>
        </w:rPr>
        <w:t xml:space="preserve">  </w:t>
      </w:r>
      <w:r w:rsidR="00FA4C47">
        <w:rPr>
          <w:sz w:val="20"/>
          <w:szCs w:val="20"/>
        </w:rPr>
        <w:tab/>
      </w:r>
      <w:proofErr w:type="gramEnd"/>
      <w:r w:rsidR="008C3880" w:rsidRPr="00F35EAB">
        <w:rPr>
          <w:b/>
          <w:sz w:val="20"/>
          <w:szCs w:val="20"/>
        </w:rPr>
        <w:t>DICHIARA</w:t>
      </w:r>
      <w:r w:rsidR="00184306" w:rsidRPr="00F35EAB">
        <w:rPr>
          <w:b/>
          <w:sz w:val="20"/>
          <w:szCs w:val="20"/>
        </w:rPr>
        <w:t xml:space="preserve"> </w:t>
      </w:r>
      <w:r w:rsidR="00184306" w:rsidRPr="00F35EAB">
        <w:rPr>
          <w:sz w:val="20"/>
          <w:szCs w:val="20"/>
        </w:rPr>
        <w:t xml:space="preserve">che è stato impossibilitato ad adottare misure di self </w:t>
      </w:r>
      <w:proofErr w:type="spellStart"/>
      <w:r w:rsidR="00184306" w:rsidRPr="00F35EAB">
        <w:rPr>
          <w:sz w:val="20"/>
          <w:szCs w:val="20"/>
        </w:rPr>
        <w:t>cleaning</w:t>
      </w:r>
      <w:proofErr w:type="spellEnd"/>
      <w:r w:rsidR="00184306" w:rsidRPr="00F35EAB">
        <w:rPr>
          <w:sz w:val="20"/>
          <w:szCs w:val="20"/>
        </w:rPr>
        <w:t xml:space="preserve">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lastRenderedPageBreak/>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w:t>
      </w:r>
      <w:proofErr w:type="gramStart"/>
      <w:r w:rsidRPr="006533B7">
        <w:rPr>
          <w:i/>
          <w:sz w:val="20"/>
          <w:szCs w:val="20"/>
        </w:rPr>
        <w:t>codice penale</w:t>
      </w:r>
      <w:proofErr w:type="gramEnd"/>
      <w:r w:rsidRPr="006533B7">
        <w:rPr>
          <w:i/>
          <w:sz w:val="20"/>
          <w:szCs w:val="20"/>
        </w:rPr>
        <w:t xml:space="preserv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 xml:space="preserve">indicare il tipo di provvedimento … Sottoposizione a sequestro o confisca ai sensi dell'articolo 240-bis del </w:t>
      </w:r>
      <w:proofErr w:type="gramStart"/>
      <w:r w:rsidRPr="006533B7">
        <w:rPr>
          <w:rFonts w:cs="Courier New"/>
          <w:i/>
          <w:sz w:val="20"/>
          <w:szCs w:val="20"/>
        </w:rPr>
        <w:t>codice penale</w:t>
      </w:r>
      <w:proofErr w:type="gramEnd"/>
      <w:r w:rsidRPr="006533B7">
        <w:rPr>
          <w:rFonts w:cs="Courier New"/>
          <w:i/>
          <w:sz w:val="20"/>
          <w:szCs w:val="20"/>
        </w:rPr>
        <w:t xml:space="preserv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3754B9A7" w14:textId="5B3205FC" w:rsidR="00320515" w:rsidRPr="00E917A1" w:rsidRDefault="00FA4C47" w:rsidP="00FA4C47">
      <w:pPr>
        <w:ind w:left="142" w:hanging="142"/>
        <w:jc w:val="both"/>
        <w:rPr>
          <w:sz w:val="20"/>
          <w:szCs w:val="20"/>
        </w:rPr>
      </w:pPr>
      <w:r w:rsidRPr="006533B7">
        <w:rPr>
          <w:sz w:val="20"/>
          <w:szCs w:val="20"/>
        </w:rPr>
        <w:t>▪</w:t>
      </w:r>
      <w:r w:rsidR="00184306" w:rsidRPr="006533B7">
        <w:rPr>
          <w:sz w:val="20"/>
          <w:szCs w:val="20"/>
        </w:rPr>
        <w:t xml:space="preserve"> </w:t>
      </w:r>
      <w:r w:rsidR="00BF1D89" w:rsidRPr="006533B7">
        <w:rPr>
          <w:sz w:val="20"/>
          <w:szCs w:val="20"/>
        </w:rPr>
        <w:tab/>
      </w:r>
      <w:r w:rsidR="00184306" w:rsidRPr="006533B7">
        <w:rPr>
          <w:sz w:val="20"/>
          <w:szCs w:val="20"/>
        </w:rPr>
        <w:t xml:space="preserve">di </w:t>
      </w:r>
      <w:r w:rsidR="00184306" w:rsidRPr="007C12F1">
        <w:rPr>
          <w:sz w:val="20"/>
          <w:szCs w:val="20"/>
        </w:rPr>
        <w:t>accettare il patto</w:t>
      </w:r>
      <w:r w:rsidR="00762F09" w:rsidRPr="007C12F1">
        <w:rPr>
          <w:sz w:val="20"/>
          <w:szCs w:val="20"/>
        </w:rPr>
        <w:t xml:space="preserve"> d’integrità</w:t>
      </w:r>
      <w:r w:rsidR="00055ED4" w:rsidRPr="007C12F1">
        <w:rPr>
          <w:sz w:val="20"/>
          <w:szCs w:val="20"/>
        </w:rPr>
        <w:t xml:space="preserve"> allegato al Disciplinare di gara (Allegato </w:t>
      </w:r>
      <w:r w:rsidR="007C12F1" w:rsidRPr="007C12F1">
        <w:rPr>
          <w:sz w:val="20"/>
          <w:szCs w:val="20"/>
        </w:rPr>
        <w:t>3</w:t>
      </w:r>
      <w:r w:rsidR="00055ED4" w:rsidRPr="007C12F1">
        <w:rPr>
          <w:sz w:val="20"/>
          <w:szCs w:val="20"/>
        </w:rPr>
        <w:t>)</w:t>
      </w:r>
      <w:r w:rsidR="00762F09" w:rsidRPr="007C12F1">
        <w:rPr>
          <w:sz w:val="20"/>
          <w:szCs w:val="20"/>
        </w:rPr>
        <w:t>.</w:t>
      </w:r>
    </w:p>
    <w:p w14:paraId="282520ED" w14:textId="024DB0AA"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w:t>
      </w:r>
      <w:r w:rsidR="00055ED4">
        <w:rPr>
          <w:sz w:val="20"/>
          <w:szCs w:val="20"/>
        </w:rPr>
        <w:t>etico</w:t>
      </w:r>
      <w:r w:rsidRPr="006533B7">
        <w:rPr>
          <w:sz w:val="20"/>
          <w:szCs w:val="20"/>
        </w:rPr>
        <w:t xml:space="preserve"> adottato dalla stazione appaltante reperibile nel sito </w:t>
      </w:r>
      <w:hyperlink r:id="rId8" w:history="1">
        <w:r w:rsidR="00AF2F4E" w:rsidRPr="00AA37E6">
          <w:rPr>
            <w:rStyle w:val="Collegamentoipertestuale"/>
            <w:sz w:val="20"/>
            <w:szCs w:val="20"/>
          </w:rPr>
          <w:t>https://www.csea.it/wp-content/uploads/amministrazione-trasparente/disposizioni-generali/atti-generali/Codice_Etico_2024.pdf</w:t>
        </w:r>
      </w:hyperlink>
      <w:r w:rsidR="00AF2F4E">
        <w:rPr>
          <w:sz w:val="20"/>
          <w:szCs w:val="20"/>
        </w:rPr>
        <w:t xml:space="preserve"> </w:t>
      </w:r>
      <w:r w:rsidRPr="006533B7">
        <w:rPr>
          <w:sz w:val="20"/>
          <w:szCs w:val="20"/>
        </w:rPr>
        <w:t xml:space="preserve">e si impegna, in caso di aggiudicazione, ad osservare e a far osservare ai propri dipendenti e collaboratori, per quanto applicabile, il suddetto codice, pena la risoluzione del contratto. </w:t>
      </w:r>
    </w:p>
    <w:p w14:paraId="41876E54" w14:textId="73DD0556"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3F28965E" w14:textId="1CB3B0F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0B6AE4C5" w:rsidR="00C41162" w:rsidRDefault="00184306" w:rsidP="00BF1D89">
      <w:pPr>
        <w:pStyle w:val="Paragrafoelenco"/>
        <w:numPr>
          <w:ilvl w:val="0"/>
          <w:numId w:val="5"/>
        </w:numPr>
        <w:ind w:left="284" w:hanging="284"/>
        <w:jc w:val="both"/>
        <w:rPr>
          <w:sz w:val="20"/>
          <w:szCs w:val="20"/>
        </w:rPr>
      </w:pPr>
      <w:r w:rsidRPr="006533B7">
        <w:rPr>
          <w:sz w:val="20"/>
          <w:szCs w:val="20"/>
        </w:rPr>
        <w:lastRenderedPageBreak/>
        <w:t>riduzione per il possesso di un</w:t>
      </w:r>
      <w:r w:rsidR="007208FF">
        <w:rPr>
          <w:sz w:val="20"/>
          <w:szCs w:val="20"/>
        </w:rPr>
        <w:t>a</w:t>
      </w:r>
      <w:r w:rsidRPr="006533B7">
        <w:rPr>
          <w:sz w:val="20"/>
          <w:szCs w:val="20"/>
        </w:rPr>
        <w:t xml:space="preserve"> o più delle seguenti certificazioni o marchi </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3C9A7F78" w14:textId="77777777" w:rsidR="003C6860" w:rsidRDefault="003C6860" w:rsidP="003C6860">
            <w:pPr>
              <w:spacing w:after="0" w:line="240" w:lineRule="auto"/>
              <w:jc w:val="both"/>
              <w:rPr>
                <w:sz w:val="20"/>
                <w:szCs w:val="20"/>
              </w:rPr>
            </w:pPr>
          </w:p>
          <w:p w14:paraId="30ED0381" w14:textId="1ED71703" w:rsidR="00AF2F4E" w:rsidRPr="00AF2F4E" w:rsidRDefault="00AF2F4E" w:rsidP="003C6860">
            <w:pPr>
              <w:spacing w:after="0" w:line="240" w:lineRule="auto"/>
              <w:jc w:val="both"/>
              <w:rPr>
                <w:sz w:val="20"/>
                <w:szCs w:val="20"/>
              </w:rPr>
            </w:pPr>
            <w:r w:rsidRPr="00AF2F4E">
              <w:rPr>
                <w:sz w:val="20"/>
                <w:szCs w:val="20"/>
              </w:rPr>
              <w:t>Riduzione del 10% in caso di possesso della certificazione del sistema di gestione per la parità di genere all’interno delle organizzazioni conforme alle norme europee della serie UNI/</w:t>
            </w:r>
            <w:proofErr w:type="spellStart"/>
            <w:r w:rsidRPr="00AF2F4E">
              <w:rPr>
                <w:sz w:val="20"/>
                <w:szCs w:val="20"/>
              </w:rPr>
              <w:t>PdR</w:t>
            </w:r>
            <w:proofErr w:type="spellEnd"/>
            <w:r w:rsidRPr="00AF2F4E">
              <w:rPr>
                <w:sz w:val="20"/>
                <w:szCs w:val="20"/>
              </w:rPr>
              <w:t xml:space="preserve"> 125.</w:t>
            </w:r>
          </w:p>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6D47BFC8"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al paragrafo </w:t>
      </w:r>
      <w:r w:rsidR="003C6860">
        <w:rPr>
          <w:bCs/>
          <w:sz w:val="20"/>
          <w:szCs w:val="20"/>
        </w:rPr>
        <w:t>9</w:t>
      </w:r>
      <w:r w:rsidRPr="000D08AE">
        <w:rPr>
          <w:bCs/>
          <w:sz w:val="20"/>
          <w:szCs w:val="20"/>
        </w:rPr>
        <w:t xml:space="preserve"> del Disciplinare;</w:t>
      </w:r>
    </w:p>
    <w:p w14:paraId="2D5FA715" w14:textId="6D0685A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63704A1F" w14:textId="3B0715B0" w:rsidR="00BA2A87" w:rsidRPr="00687C93" w:rsidRDefault="00687C93" w:rsidP="00BA2A87">
      <w:pPr>
        <w:ind w:left="284" w:hanging="284"/>
        <w:jc w:val="both"/>
        <w:rPr>
          <w:sz w:val="20"/>
          <w:szCs w:val="20"/>
        </w:rPr>
      </w:pPr>
      <w:r w:rsidRPr="00687C93">
        <w:rPr>
          <w:sz w:val="20"/>
          <w:szCs w:val="20"/>
        </w:rPr>
        <w:t>(</w:t>
      </w:r>
      <w:r w:rsidR="00BA2A87" w:rsidRPr="00687C93">
        <w:rPr>
          <w:sz w:val="20"/>
          <w:szCs w:val="20"/>
        </w:rPr>
        <w:t>Oppure</w:t>
      </w:r>
      <w:r w:rsidRPr="00687C93">
        <w:rPr>
          <w:sz w:val="20"/>
          <w:szCs w:val="20"/>
        </w:rPr>
        <w:t>)</w:t>
      </w:r>
    </w:p>
    <w:p w14:paraId="3F62FFB4" w14:textId="317EA17C" w:rsidR="006F759B" w:rsidRPr="00687C93" w:rsidRDefault="007E5AB7" w:rsidP="006F759B">
      <w:pPr>
        <w:pStyle w:val="Paragrafoelenco"/>
        <w:numPr>
          <w:ilvl w:val="0"/>
          <w:numId w:val="19"/>
        </w:numPr>
        <w:ind w:left="284" w:hanging="284"/>
        <w:jc w:val="both"/>
        <w:rPr>
          <w:sz w:val="20"/>
          <w:szCs w:val="20"/>
        </w:rPr>
      </w:pPr>
      <w:r w:rsidRPr="00687C93">
        <w:rPr>
          <w:b/>
          <w:sz w:val="20"/>
          <w:szCs w:val="20"/>
        </w:rPr>
        <w:t>DICHIARA</w:t>
      </w:r>
      <w:r w:rsidRPr="00687C93">
        <w:rPr>
          <w:sz w:val="20"/>
          <w:szCs w:val="20"/>
        </w:rPr>
        <w:t xml:space="preserve"> che </w:t>
      </w:r>
      <w:r w:rsidR="00BA2A87" w:rsidRPr="00687C93">
        <w:rPr>
          <w:sz w:val="20"/>
          <w:szCs w:val="20"/>
        </w:rPr>
        <w:t>la garanzia fideiussoria è gestita in tutte le sue fasi</w:t>
      </w:r>
      <w:r w:rsidRPr="00687C93">
        <w:rPr>
          <w:sz w:val="20"/>
          <w:szCs w:val="20"/>
        </w:rPr>
        <w:t>,</w:t>
      </w:r>
      <w:r w:rsidR="00BA2A87" w:rsidRPr="00687C93">
        <w:rPr>
          <w:sz w:val="20"/>
          <w:szCs w:val="20"/>
        </w:rPr>
        <w:t xml:space="preserve"> mediante il </w:t>
      </w:r>
      <w:r w:rsidR="006F759B" w:rsidRPr="00687C93">
        <w:rPr>
          <w:sz w:val="20"/>
          <w:szCs w:val="20"/>
        </w:rPr>
        <w:t xml:space="preserve">ricorso alla piattaforma </w:t>
      </w:r>
      <w:r w:rsidR="00687C93" w:rsidRPr="00687C93">
        <w:rPr>
          <w:sz w:val="20"/>
          <w:szCs w:val="20"/>
        </w:rPr>
        <w:t>indicata nel Disciplinare di gara;</w:t>
      </w:r>
    </w:p>
    <w:p w14:paraId="4999AB97" w14:textId="1A6675C7" w:rsidR="00C41162" w:rsidRPr="006F759B" w:rsidRDefault="006F759B" w:rsidP="00547C73">
      <w:pPr>
        <w:ind w:left="284" w:hanging="284"/>
        <w:jc w:val="both"/>
        <w:rPr>
          <w:sz w:val="20"/>
          <w:szCs w:val="20"/>
        </w:rPr>
      </w:pPr>
      <w:r w:rsidRPr="006F759B">
        <w:rPr>
          <w:sz w:val="20"/>
          <w:szCs w:val="20"/>
        </w:rPr>
        <w:t xml:space="preserve"> </w:t>
      </w:r>
      <w:r w:rsidR="00184306" w:rsidRPr="006F759B">
        <w:rPr>
          <w:sz w:val="20"/>
          <w:szCs w:val="20"/>
        </w:rPr>
        <w:t>▪</w:t>
      </w:r>
      <w:r w:rsidR="00547C73">
        <w:rPr>
          <w:sz w:val="20"/>
          <w:szCs w:val="20"/>
        </w:rPr>
        <w:tab/>
      </w:r>
      <w:r w:rsidR="00547C73" w:rsidRPr="00547C73">
        <w:rPr>
          <w:i/>
          <w:iCs/>
          <w:sz w:val="20"/>
          <w:szCs w:val="20"/>
        </w:rPr>
        <w:t>(</w:t>
      </w:r>
      <w:r w:rsidR="00184306" w:rsidRPr="00547C73">
        <w:rPr>
          <w:i/>
          <w:iCs/>
          <w:sz w:val="20"/>
          <w:szCs w:val="20"/>
        </w:rPr>
        <w:t>eventuale, solo nel caso in cui la garanzia sia rilasciata tramite bonifico)</w:t>
      </w:r>
      <w:r w:rsidR="00184306" w:rsidRPr="006F759B">
        <w:rPr>
          <w:sz w:val="20"/>
          <w:szCs w:val="20"/>
        </w:rPr>
        <w:t xml:space="preserve"> che, in caso di restituzione della garanzia provvisoria costituita tramite bonifico, il relativo versamento dovrà essere effettuato sul conto corrente bancario IBAN n. …</w:t>
      </w:r>
      <w:r w:rsidR="00547C73">
        <w:rPr>
          <w:sz w:val="20"/>
          <w:szCs w:val="20"/>
        </w:rPr>
        <w:t xml:space="preserve"> </w:t>
      </w:r>
      <w:r w:rsidR="00184306" w:rsidRPr="006F759B">
        <w:rPr>
          <w:sz w:val="20"/>
          <w:szCs w:val="20"/>
        </w:rPr>
        <w:t xml:space="preserve">intestato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0FFE3175" w14:textId="1773A579" w:rsidR="00C41162" w:rsidRPr="00DB78F3"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1C7FF243" w14:textId="749545C0" w:rsidR="0007145E" w:rsidRPr="006533B7" w:rsidRDefault="00184306" w:rsidP="003C6860">
      <w:pPr>
        <w:tabs>
          <w:tab w:val="left" w:pos="0"/>
        </w:tabs>
        <w:ind w:left="142" w:hanging="142"/>
        <w:jc w:val="both"/>
        <w:rPr>
          <w:sz w:val="20"/>
          <w:szCs w:val="20"/>
        </w:rPr>
      </w:pPr>
      <w:r w:rsidRPr="006533B7">
        <w:rPr>
          <w:b/>
          <w:sz w:val="20"/>
          <w:szCs w:val="20"/>
        </w:rPr>
        <w:t xml:space="preserve">▪ </w:t>
      </w:r>
      <w:r w:rsidR="00BF1D89" w:rsidRPr="006533B7">
        <w:rPr>
          <w:b/>
          <w:sz w:val="20"/>
          <w:szCs w:val="20"/>
        </w:rPr>
        <w:tab/>
      </w:r>
      <w:r w:rsidR="00E04C17">
        <w:rPr>
          <w:b/>
          <w:sz w:val="20"/>
          <w:szCs w:val="20"/>
        </w:rPr>
        <w:t xml:space="preserve">   </w:t>
      </w: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sidR="00E04C17">
        <w:rPr>
          <w:sz w:val="20"/>
          <w:szCs w:val="20"/>
        </w:rPr>
        <w:t xml:space="preserve">       </w:t>
      </w:r>
      <w:r w:rsidRPr="006533B7">
        <w:rPr>
          <w:sz w:val="20"/>
          <w:szCs w:val="20"/>
        </w:rPr>
        <w:t>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04F20DD7" w14:textId="7636ABEA" w:rsidR="00C41162" w:rsidRPr="006533B7" w:rsidRDefault="00BF1D89" w:rsidP="00547C73">
      <w:pPr>
        <w:pStyle w:val="Paragrafoelenco"/>
        <w:numPr>
          <w:ilvl w:val="0"/>
          <w:numId w:val="1"/>
        </w:numPr>
        <w:jc w:val="both"/>
        <w:rPr>
          <w:b/>
          <w:bCs/>
          <w:color w:val="4472C4" w:themeColor="accent5"/>
          <w:sz w:val="20"/>
          <w:szCs w:val="20"/>
        </w:rPr>
      </w:pPr>
      <w:r w:rsidRPr="00547C73">
        <w:rPr>
          <w:b/>
          <w:bCs/>
          <w:color w:val="4472C4" w:themeColor="accent5"/>
          <w:sz w:val="20"/>
          <w:szCs w:val="20"/>
        </w:rPr>
        <w:t xml:space="preserve">   </w:t>
      </w:r>
      <w:r w:rsidR="00184306" w:rsidRPr="006533B7">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323C2AF8" w14:textId="77777777" w:rsidR="00547C73" w:rsidRDefault="00F51DAD" w:rsidP="00625B83">
      <w:pPr>
        <w:jc w:val="both"/>
        <w:rPr>
          <w:sz w:val="20"/>
          <w:szCs w:val="20"/>
        </w:rPr>
      </w:pPr>
      <w:r w:rsidRPr="006533B7">
        <w:rPr>
          <w:sz w:val="20"/>
          <w:szCs w:val="20"/>
        </w:rPr>
        <w:t>▪</w:t>
      </w:r>
      <w:r>
        <w:rPr>
          <w:sz w:val="20"/>
          <w:szCs w:val="20"/>
        </w:rPr>
        <w:t xml:space="preserve"> </w:t>
      </w:r>
      <w:r w:rsidR="00625B83">
        <w:rPr>
          <w:sz w:val="20"/>
          <w:szCs w:val="20"/>
        </w:rPr>
        <w:t>(</w:t>
      </w:r>
      <w:r w:rsidR="00625B83" w:rsidRPr="00026CF4">
        <w:rPr>
          <w:i/>
          <w:iCs/>
          <w:sz w:val="20"/>
          <w:szCs w:val="20"/>
        </w:rPr>
        <w:t>solo se previsti nel Disciplinare</w:t>
      </w:r>
      <w:r w:rsidR="00625B83">
        <w:rPr>
          <w:sz w:val="20"/>
          <w:szCs w:val="20"/>
        </w:rPr>
        <w:t xml:space="preserve">) </w:t>
      </w:r>
      <w:r w:rsidR="00184306" w:rsidRPr="00F51DAD">
        <w:rPr>
          <w:sz w:val="20"/>
          <w:szCs w:val="20"/>
        </w:rPr>
        <w:t>accettare,</w:t>
      </w:r>
      <w:r w:rsidR="00C70A0C" w:rsidRPr="00F51DAD">
        <w:rPr>
          <w:sz w:val="20"/>
          <w:szCs w:val="20"/>
        </w:rPr>
        <w:t xml:space="preserve"> in caso di aggiudicazione,</w:t>
      </w:r>
      <w:r w:rsidR="00184306" w:rsidRPr="00F51DAD">
        <w:rPr>
          <w:sz w:val="20"/>
          <w:szCs w:val="20"/>
        </w:rPr>
        <w:t xml:space="preserve"> i requisiti particolari per l’esecuzione del contratto previsti nel </w:t>
      </w:r>
      <w:r w:rsidR="00EB37F0" w:rsidRPr="00F51DAD">
        <w:rPr>
          <w:sz w:val="20"/>
          <w:szCs w:val="20"/>
        </w:rPr>
        <w:t>D</w:t>
      </w:r>
      <w:r w:rsidR="00184306" w:rsidRPr="00F51DAD">
        <w:rPr>
          <w:sz w:val="20"/>
          <w:szCs w:val="20"/>
        </w:rPr>
        <w:t>isciplinare di gara</w:t>
      </w:r>
      <w:r w:rsidR="00C70A0C" w:rsidRPr="00F51DAD">
        <w:rPr>
          <w:sz w:val="20"/>
          <w:szCs w:val="20"/>
        </w:rPr>
        <w:t>,</w:t>
      </w:r>
      <w:r w:rsidR="00184306" w:rsidRPr="00F51DAD">
        <w:rPr>
          <w:sz w:val="20"/>
          <w:szCs w:val="20"/>
        </w:rPr>
        <w:t xml:space="preserve"> </w:t>
      </w:r>
      <w:r>
        <w:rPr>
          <w:sz w:val="20"/>
          <w:szCs w:val="20"/>
        </w:rPr>
        <w:t>a</w:t>
      </w:r>
      <w:r w:rsidR="00184306" w:rsidRPr="00F51DAD">
        <w:rPr>
          <w:sz w:val="20"/>
          <w:szCs w:val="20"/>
        </w:rPr>
        <w:t>i sensi dell’articolo 113, comma 2</w:t>
      </w:r>
      <w:r w:rsidR="00C70A0C" w:rsidRPr="00F51DAD">
        <w:rPr>
          <w:sz w:val="20"/>
          <w:szCs w:val="20"/>
        </w:rPr>
        <w:t>,</w:t>
      </w:r>
      <w:r w:rsidR="00184306" w:rsidRPr="00F51DAD">
        <w:rPr>
          <w:sz w:val="20"/>
          <w:szCs w:val="20"/>
        </w:rPr>
        <w:t xml:space="preserve"> del </w:t>
      </w:r>
      <w:r w:rsidR="00F338A3" w:rsidRPr="00F51DAD">
        <w:rPr>
          <w:sz w:val="20"/>
          <w:szCs w:val="20"/>
        </w:rPr>
        <w:t>C</w:t>
      </w:r>
      <w:r w:rsidR="00184306" w:rsidRPr="00F51DAD">
        <w:rPr>
          <w:sz w:val="20"/>
          <w:szCs w:val="20"/>
        </w:rPr>
        <w:t>odice</w:t>
      </w:r>
      <w:r w:rsidR="00625B83">
        <w:rPr>
          <w:sz w:val="20"/>
          <w:szCs w:val="20"/>
        </w:rPr>
        <w:t>;</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2D263799" w14:textId="6AFB0A3D" w:rsidR="00625B83" w:rsidRDefault="00625B83" w:rsidP="00026CF4">
      <w:pPr>
        <w:jc w:val="both"/>
        <w:rPr>
          <w:sz w:val="20"/>
          <w:szCs w:val="20"/>
        </w:rPr>
      </w:pPr>
      <w:r w:rsidRPr="006533B7">
        <w:rPr>
          <w:sz w:val="20"/>
          <w:szCs w:val="20"/>
        </w:rPr>
        <w:t>▪</w:t>
      </w:r>
      <w:r w:rsidRPr="00026CF4">
        <w:rPr>
          <w:sz w:val="20"/>
          <w:szCs w:val="20"/>
        </w:rPr>
        <w:t xml:space="preserve">assumersi l’obbligo, in caso di aggiudicazione del contratto, di assicurare all’occupazione giovanile una quota di …. % </w:t>
      </w:r>
      <w:r w:rsidRPr="00026CF4">
        <w:rPr>
          <w:i/>
          <w:iCs/>
          <w:sz w:val="20"/>
          <w:szCs w:val="20"/>
        </w:rPr>
        <w:t>[indicare la quota pari o superiore al 30% indicata al punto 9 del Disciplinare]</w:t>
      </w:r>
      <w:r w:rsidRPr="00026CF4">
        <w:rPr>
          <w:sz w:val="20"/>
          <w:szCs w:val="20"/>
        </w:rPr>
        <w:t xml:space="preserve"> e a quella femminile una quota di …. % </w:t>
      </w:r>
      <w:r w:rsidRPr="00026CF4">
        <w:rPr>
          <w:i/>
          <w:iCs/>
          <w:sz w:val="20"/>
          <w:szCs w:val="20"/>
        </w:rPr>
        <w:t>[indicare la quota pari o superiore al 30% indicata al punto 9 del Disciplinare]</w:t>
      </w:r>
      <w:r w:rsidRPr="00026CF4">
        <w:rPr>
          <w:sz w:val="20"/>
          <w:szCs w:val="20"/>
        </w:rPr>
        <w:t xml:space="preserve"> 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lastRenderedPageBreak/>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proofErr w:type="gramStart"/>
      <w:r w:rsidR="006E246B" w:rsidRPr="006533B7">
        <w:rPr>
          <w:sz w:val="20"/>
          <w:szCs w:val="20"/>
        </w:rPr>
        <w:t>ad</w:t>
      </w:r>
      <w:proofErr w:type="gramEnd"/>
      <w:r w:rsidR="006E246B" w:rsidRPr="006533B7">
        <w:rPr>
          <w:sz w:val="20"/>
          <w:szCs w:val="20"/>
        </w:rPr>
        <w:t xml:space="preserve">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w:t>
      </w:r>
      <w:proofErr w:type="spellStart"/>
      <w:r w:rsidR="006E246B" w:rsidRPr="000B2CC0">
        <w:rPr>
          <w:sz w:val="20"/>
          <w:szCs w:val="20"/>
        </w:rPr>
        <w:t>Anac</w:t>
      </w:r>
      <w:proofErr w:type="spellEnd"/>
      <w:r w:rsidR="006E246B" w:rsidRPr="000B2CC0">
        <w:rPr>
          <w:sz w:val="20"/>
          <w:szCs w:val="20"/>
        </w:rPr>
        <w:t xml:space="preserve">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w:t>
      </w:r>
      <w:proofErr w:type="spellStart"/>
      <w:r w:rsidRPr="006533B7">
        <w:rPr>
          <w:sz w:val="20"/>
          <w:szCs w:val="20"/>
        </w:rPr>
        <w:t>eIDAS</w:t>
      </w:r>
      <w:proofErr w:type="spellEnd"/>
      <w:r w:rsidRPr="006533B7">
        <w:rPr>
          <w:sz w:val="20"/>
          <w:szCs w:val="20"/>
        </w:rPr>
        <w:t xml:space="preserve">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 xml:space="preserve">in alternativa, nel caso in cui l’operatore economico non sia presente nei </w:t>
      </w:r>
      <w:proofErr w:type="gramStart"/>
      <w:r w:rsidR="00184306" w:rsidRPr="006533B7">
        <w:rPr>
          <w:i/>
          <w:sz w:val="20"/>
          <w:szCs w:val="20"/>
        </w:rPr>
        <w:t>predetti</w:t>
      </w:r>
      <w:proofErr w:type="gramEnd"/>
      <w:r w:rsidR="00184306" w:rsidRPr="006533B7">
        <w:rPr>
          <w:i/>
          <w:sz w:val="20"/>
          <w:szCs w:val="20"/>
        </w:rPr>
        <w:t xml:space="preserve">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rsidSect="00BF1BDA">
      <w:headerReference w:type="default" r:id="rId9"/>
      <w:footerReference w:type="default" r:id="rId10"/>
      <w:pgSz w:w="11906" w:h="16838"/>
      <w:pgMar w:top="-2410" w:right="1134" w:bottom="1134"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138D1" w14:textId="77777777" w:rsidR="003742EA" w:rsidRDefault="003742EA">
      <w:pPr>
        <w:spacing w:after="0" w:line="240" w:lineRule="auto"/>
      </w:pPr>
      <w:r>
        <w:separator/>
      </w:r>
    </w:p>
  </w:endnote>
  <w:endnote w:type="continuationSeparator" w:id="0">
    <w:p w14:paraId="295C581A" w14:textId="77777777" w:rsidR="003742EA" w:rsidRDefault="00374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347309"/>
      <w:docPartObj>
        <w:docPartGallery w:val="Page Numbers (Bottom of Page)"/>
        <w:docPartUnique/>
      </w:docPartObj>
    </w:sdtPr>
    <w:sdtEndPr/>
    <w:sdtContent>
      <w:p w14:paraId="66471B53" w14:textId="27C4A562" w:rsidR="00935713" w:rsidRDefault="00935713">
        <w:pPr>
          <w:pStyle w:val="Pidipagina"/>
          <w:jc w:val="center"/>
        </w:pPr>
        <w:r>
          <w:fldChar w:fldCharType="begin"/>
        </w:r>
        <w:r>
          <w:instrText>PAGE   \* MERGEFORMAT</w:instrText>
        </w:r>
        <w:r>
          <w:fldChar w:fldCharType="separate"/>
        </w:r>
        <w:r>
          <w:t>2</w:t>
        </w:r>
        <w:r>
          <w:fldChar w:fldCharType="end"/>
        </w:r>
      </w:p>
    </w:sdtContent>
  </w:sdt>
  <w:p w14:paraId="56A811F7" w14:textId="77777777" w:rsidR="00935713" w:rsidRDefault="009357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F6640" w14:textId="77777777" w:rsidR="003742EA" w:rsidRDefault="003742EA">
      <w:pPr>
        <w:rPr>
          <w:sz w:val="12"/>
        </w:rPr>
      </w:pPr>
      <w:r>
        <w:separator/>
      </w:r>
    </w:p>
  </w:footnote>
  <w:footnote w:type="continuationSeparator" w:id="0">
    <w:p w14:paraId="2B928C63" w14:textId="77777777" w:rsidR="003742EA" w:rsidRDefault="003742EA">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863B" w14:textId="08E8735D" w:rsidR="00C41162" w:rsidRDefault="00BF1BDA">
    <w:pPr>
      <w:pStyle w:val="Intestazione"/>
      <w:tabs>
        <w:tab w:val="left" w:pos="2552"/>
      </w:tabs>
    </w:pPr>
    <w:r w:rsidRPr="00BF1BDA">
      <w:rPr>
        <w:rFonts w:ascii="Calibri" w:eastAsia="Calibri" w:hAnsi="Calibri" w:cs="Arial"/>
        <w:noProof/>
        <w:sz w:val="20"/>
        <w:szCs w:val="20"/>
        <w:lang w:eastAsia="it-IT"/>
      </w:rPr>
      <w:drawing>
        <wp:inline distT="0" distB="0" distL="0" distR="0" wp14:anchorId="589E7101" wp14:editId="0E66FFE4">
          <wp:extent cx="3070860" cy="1937385"/>
          <wp:effectExtent l="0" t="0" r="0" b="0"/>
          <wp:docPr id="37" name="Immagine 37" descr="Immagine che contiene testo, biglietto da visita,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biglietto da visita, Carattere, schermat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0860" cy="1937385"/>
                  </a:xfrm>
                  <a:prstGeom prst="rect">
                    <a:avLst/>
                  </a:prstGeom>
                  <a:noFill/>
                </pic:spPr>
              </pic:pic>
            </a:graphicData>
          </a:graphic>
        </wp:inline>
      </w:drawing>
    </w: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0"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2"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FA36277"/>
    <w:multiLevelType w:val="hybridMultilevel"/>
    <w:tmpl w:val="64C68DC2"/>
    <w:lvl w:ilvl="0" w:tplc="0410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6"/>
  </w:num>
  <w:num w:numId="3">
    <w:abstractNumId w:val="8"/>
  </w:num>
  <w:num w:numId="4">
    <w:abstractNumId w:val="11"/>
  </w:num>
  <w:num w:numId="5">
    <w:abstractNumId w:val="2"/>
  </w:num>
  <w:num w:numId="6">
    <w:abstractNumId w:val="15"/>
  </w:num>
  <w:num w:numId="7">
    <w:abstractNumId w:val="7"/>
  </w:num>
  <w:num w:numId="8">
    <w:abstractNumId w:val="19"/>
  </w:num>
  <w:num w:numId="9">
    <w:abstractNumId w:val="6"/>
  </w:num>
  <w:num w:numId="10">
    <w:abstractNumId w:val="1"/>
  </w:num>
  <w:num w:numId="11">
    <w:abstractNumId w:val="13"/>
  </w:num>
  <w:num w:numId="12">
    <w:abstractNumId w:val="5"/>
  </w:num>
  <w:num w:numId="13">
    <w:abstractNumId w:val="14"/>
  </w:num>
  <w:num w:numId="14">
    <w:abstractNumId w:val="0"/>
  </w:num>
  <w:num w:numId="15">
    <w:abstractNumId w:val="9"/>
  </w:num>
  <w:num w:numId="16">
    <w:abstractNumId w:val="3"/>
  </w:num>
  <w:num w:numId="17">
    <w:abstractNumId w:val="17"/>
  </w:num>
  <w:num w:numId="18">
    <w:abstractNumId w:val="10"/>
  </w:num>
  <w:num w:numId="19">
    <w:abstractNumId w:val="18"/>
  </w:num>
  <w:num w:numId="20">
    <w:abstractNumId w:val="4"/>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2682A"/>
    <w:rsid w:val="00026CF4"/>
    <w:rsid w:val="00043A6C"/>
    <w:rsid w:val="00054595"/>
    <w:rsid w:val="00055ED4"/>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5869"/>
    <w:rsid w:val="000F77E0"/>
    <w:rsid w:val="0011020C"/>
    <w:rsid w:val="00113297"/>
    <w:rsid w:val="00121EA8"/>
    <w:rsid w:val="00122975"/>
    <w:rsid w:val="00132C2D"/>
    <w:rsid w:val="00140122"/>
    <w:rsid w:val="00141B8D"/>
    <w:rsid w:val="00153D4E"/>
    <w:rsid w:val="00154EC1"/>
    <w:rsid w:val="001731EF"/>
    <w:rsid w:val="0017440B"/>
    <w:rsid w:val="00184306"/>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20748"/>
    <w:rsid w:val="002220EB"/>
    <w:rsid w:val="00240CCA"/>
    <w:rsid w:val="00241FCD"/>
    <w:rsid w:val="00243000"/>
    <w:rsid w:val="00243F87"/>
    <w:rsid w:val="002450E0"/>
    <w:rsid w:val="00254B55"/>
    <w:rsid w:val="00264936"/>
    <w:rsid w:val="00266C56"/>
    <w:rsid w:val="0027611A"/>
    <w:rsid w:val="00283A94"/>
    <w:rsid w:val="00287DDF"/>
    <w:rsid w:val="00293E5E"/>
    <w:rsid w:val="002A1FA2"/>
    <w:rsid w:val="002A377A"/>
    <w:rsid w:val="002B48A1"/>
    <w:rsid w:val="002C0866"/>
    <w:rsid w:val="002C2984"/>
    <w:rsid w:val="002D37A8"/>
    <w:rsid w:val="002D3E91"/>
    <w:rsid w:val="002E3D4C"/>
    <w:rsid w:val="0030059B"/>
    <w:rsid w:val="00303D87"/>
    <w:rsid w:val="00307002"/>
    <w:rsid w:val="003131F3"/>
    <w:rsid w:val="00320515"/>
    <w:rsid w:val="00331E92"/>
    <w:rsid w:val="00332889"/>
    <w:rsid w:val="00336832"/>
    <w:rsid w:val="00345201"/>
    <w:rsid w:val="00347DF9"/>
    <w:rsid w:val="00354FAA"/>
    <w:rsid w:val="00355A8C"/>
    <w:rsid w:val="003607A2"/>
    <w:rsid w:val="003613CE"/>
    <w:rsid w:val="003742EA"/>
    <w:rsid w:val="00387828"/>
    <w:rsid w:val="003B19C4"/>
    <w:rsid w:val="003B2214"/>
    <w:rsid w:val="003B3811"/>
    <w:rsid w:val="003B5276"/>
    <w:rsid w:val="003B739C"/>
    <w:rsid w:val="003C49AD"/>
    <w:rsid w:val="003C6860"/>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73D41"/>
    <w:rsid w:val="00586FF1"/>
    <w:rsid w:val="00596129"/>
    <w:rsid w:val="005976C8"/>
    <w:rsid w:val="005B731D"/>
    <w:rsid w:val="005C49E2"/>
    <w:rsid w:val="005D444F"/>
    <w:rsid w:val="005E725A"/>
    <w:rsid w:val="005F1D22"/>
    <w:rsid w:val="006022FA"/>
    <w:rsid w:val="006026A2"/>
    <w:rsid w:val="00607BC1"/>
    <w:rsid w:val="00607EB0"/>
    <w:rsid w:val="006123E0"/>
    <w:rsid w:val="0062128A"/>
    <w:rsid w:val="0062593A"/>
    <w:rsid w:val="00625B83"/>
    <w:rsid w:val="0063020D"/>
    <w:rsid w:val="00633A29"/>
    <w:rsid w:val="006377D3"/>
    <w:rsid w:val="0064397E"/>
    <w:rsid w:val="006533B7"/>
    <w:rsid w:val="0066102F"/>
    <w:rsid w:val="00671485"/>
    <w:rsid w:val="00680C11"/>
    <w:rsid w:val="00687C93"/>
    <w:rsid w:val="0069121A"/>
    <w:rsid w:val="0069625E"/>
    <w:rsid w:val="0069658B"/>
    <w:rsid w:val="00696DE9"/>
    <w:rsid w:val="006A03D5"/>
    <w:rsid w:val="006B7B7F"/>
    <w:rsid w:val="006E01AE"/>
    <w:rsid w:val="006E0FA0"/>
    <w:rsid w:val="006E1329"/>
    <w:rsid w:val="006E246B"/>
    <w:rsid w:val="006F3BE9"/>
    <w:rsid w:val="006F759B"/>
    <w:rsid w:val="00703FB4"/>
    <w:rsid w:val="007077AE"/>
    <w:rsid w:val="00716CED"/>
    <w:rsid w:val="00717105"/>
    <w:rsid w:val="007208FF"/>
    <w:rsid w:val="007227AC"/>
    <w:rsid w:val="00725DDA"/>
    <w:rsid w:val="00741BDE"/>
    <w:rsid w:val="00762F09"/>
    <w:rsid w:val="00766533"/>
    <w:rsid w:val="00770CBC"/>
    <w:rsid w:val="00772CBE"/>
    <w:rsid w:val="00777F4B"/>
    <w:rsid w:val="00787B9C"/>
    <w:rsid w:val="00787CF9"/>
    <w:rsid w:val="007926FD"/>
    <w:rsid w:val="007A3987"/>
    <w:rsid w:val="007B18E3"/>
    <w:rsid w:val="007B75FD"/>
    <w:rsid w:val="007C12F1"/>
    <w:rsid w:val="007C35FF"/>
    <w:rsid w:val="007D03FC"/>
    <w:rsid w:val="007D2B3B"/>
    <w:rsid w:val="007D55AF"/>
    <w:rsid w:val="007E2DB7"/>
    <w:rsid w:val="007E380C"/>
    <w:rsid w:val="007E5AB7"/>
    <w:rsid w:val="007F2337"/>
    <w:rsid w:val="007F48EE"/>
    <w:rsid w:val="007F5363"/>
    <w:rsid w:val="008003FD"/>
    <w:rsid w:val="008015DD"/>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B08D7"/>
    <w:rsid w:val="008C07A5"/>
    <w:rsid w:val="008C3880"/>
    <w:rsid w:val="008D463D"/>
    <w:rsid w:val="008D5DEE"/>
    <w:rsid w:val="008F597C"/>
    <w:rsid w:val="00902EB4"/>
    <w:rsid w:val="00907E41"/>
    <w:rsid w:val="00921426"/>
    <w:rsid w:val="00933C16"/>
    <w:rsid w:val="00935713"/>
    <w:rsid w:val="00942E88"/>
    <w:rsid w:val="009535B2"/>
    <w:rsid w:val="009547ED"/>
    <w:rsid w:val="00957AA0"/>
    <w:rsid w:val="00957C2C"/>
    <w:rsid w:val="00971775"/>
    <w:rsid w:val="00986A23"/>
    <w:rsid w:val="0099125A"/>
    <w:rsid w:val="009972D0"/>
    <w:rsid w:val="009B383D"/>
    <w:rsid w:val="009B5141"/>
    <w:rsid w:val="009B7009"/>
    <w:rsid w:val="009C601D"/>
    <w:rsid w:val="009D119E"/>
    <w:rsid w:val="009E04C3"/>
    <w:rsid w:val="009E0FD3"/>
    <w:rsid w:val="009E2EF2"/>
    <w:rsid w:val="009E46B4"/>
    <w:rsid w:val="009E4BA8"/>
    <w:rsid w:val="00A06E35"/>
    <w:rsid w:val="00A12EB7"/>
    <w:rsid w:val="00A13F1D"/>
    <w:rsid w:val="00A24E8B"/>
    <w:rsid w:val="00A33A49"/>
    <w:rsid w:val="00A50B54"/>
    <w:rsid w:val="00A718A5"/>
    <w:rsid w:val="00A740E5"/>
    <w:rsid w:val="00A87214"/>
    <w:rsid w:val="00A96B55"/>
    <w:rsid w:val="00AA1FD2"/>
    <w:rsid w:val="00AA369E"/>
    <w:rsid w:val="00AA3F10"/>
    <w:rsid w:val="00AA4C35"/>
    <w:rsid w:val="00AB0FA5"/>
    <w:rsid w:val="00AB6450"/>
    <w:rsid w:val="00AC0E67"/>
    <w:rsid w:val="00AF2F4E"/>
    <w:rsid w:val="00AF56AF"/>
    <w:rsid w:val="00AF6E49"/>
    <w:rsid w:val="00AF71F2"/>
    <w:rsid w:val="00B0135C"/>
    <w:rsid w:val="00B01E52"/>
    <w:rsid w:val="00B05099"/>
    <w:rsid w:val="00B14EBC"/>
    <w:rsid w:val="00B314E5"/>
    <w:rsid w:val="00B43B34"/>
    <w:rsid w:val="00B46559"/>
    <w:rsid w:val="00B505FA"/>
    <w:rsid w:val="00B5162B"/>
    <w:rsid w:val="00B51CCB"/>
    <w:rsid w:val="00B7690A"/>
    <w:rsid w:val="00B81A6F"/>
    <w:rsid w:val="00B91564"/>
    <w:rsid w:val="00BA2A87"/>
    <w:rsid w:val="00BA5AB9"/>
    <w:rsid w:val="00BC0216"/>
    <w:rsid w:val="00BD0680"/>
    <w:rsid w:val="00BD1EA5"/>
    <w:rsid w:val="00BD4CD2"/>
    <w:rsid w:val="00BE0E56"/>
    <w:rsid w:val="00BF1BDA"/>
    <w:rsid w:val="00BF1D89"/>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7B26"/>
    <w:rsid w:val="00D45998"/>
    <w:rsid w:val="00D61A10"/>
    <w:rsid w:val="00D64A32"/>
    <w:rsid w:val="00D730DC"/>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BD3"/>
    <w:rsid w:val="00E251D5"/>
    <w:rsid w:val="00E40535"/>
    <w:rsid w:val="00E56710"/>
    <w:rsid w:val="00E601F8"/>
    <w:rsid w:val="00E602E3"/>
    <w:rsid w:val="00E8453A"/>
    <w:rsid w:val="00E86118"/>
    <w:rsid w:val="00E872F7"/>
    <w:rsid w:val="00E917A1"/>
    <w:rsid w:val="00E926EB"/>
    <w:rsid w:val="00E95580"/>
    <w:rsid w:val="00E95D6E"/>
    <w:rsid w:val="00EA748E"/>
    <w:rsid w:val="00EB22FE"/>
    <w:rsid w:val="00EB37F0"/>
    <w:rsid w:val="00EB4EFE"/>
    <w:rsid w:val="00EC541D"/>
    <w:rsid w:val="00EC7107"/>
    <w:rsid w:val="00EE4127"/>
    <w:rsid w:val="00F05ACD"/>
    <w:rsid w:val="00F11A2B"/>
    <w:rsid w:val="00F21D50"/>
    <w:rsid w:val="00F2220F"/>
    <w:rsid w:val="00F27E15"/>
    <w:rsid w:val="00F338A3"/>
    <w:rsid w:val="00F35EAB"/>
    <w:rsid w:val="00F5043F"/>
    <w:rsid w:val="00F51DAD"/>
    <w:rsid w:val="00F571CE"/>
    <w:rsid w:val="00F6717C"/>
    <w:rsid w:val="00F75A6B"/>
    <w:rsid w:val="00F77256"/>
    <w:rsid w:val="00F87273"/>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character" w:styleId="Collegamentoipertestuale">
    <w:name w:val="Hyperlink"/>
    <w:basedOn w:val="Carpredefinitoparagrafo"/>
    <w:uiPriority w:val="99"/>
    <w:unhideWhenUsed/>
    <w:rsid w:val="00AF2F4E"/>
    <w:rPr>
      <w:color w:val="0563C1" w:themeColor="hyperlink"/>
      <w:u w:val="single"/>
    </w:rPr>
  </w:style>
  <w:style w:type="character" w:styleId="Menzionenonrisolta">
    <w:name w:val="Unresolved Mention"/>
    <w:basedOn w:val="Carpredefinitoparagrafo"/>
    <w:uiPriority w:val="99"/>
    <w:semiHidden/>
    <w:unhideWhenUsed/>
    <w:rsid w:val="00AF2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sea.it/wp-content/uploads/amministrazione-trasparente/disposizioni-generali/atti-generali/Codice_Etico_202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8</Pages>
  <Words>2769</Words>
  <Characters>15789</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Annarosa Alfonzo</cp:lastModifiedBy>
  <cp:revision>51</cp:revision>
  <cp:lastPrinted>2023-12-13T08:59:00Z</cp:lastPrinted>
  <dcterms:created xsi:type="dcterms:W3CDTF">2025-08-28T13:59:00Z</dcterms:created>
  <dcterms:modified xsi:type="dcterms:W3CDTF">2025-12-03T08:21:00Z</dcterms:modified>
  <dc:language>it-IT</dc:language>
</cp:coreProperties>
</file>