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C7FA" w14:textId="77777777" w:rsidR="00F91254" w:rsidRDefault="00F91254" w:rsidP="00F91254">
      <w:pPr>
        <w:pStyle w:val="Paragrafoelenco"/>
        <w:tabs>
          <w:tab w:val="left" w:pos="5679"/>
        </w:tabs>
        <w:spacing w:after="240" w:line="240" w:lineRule="auto"/>
        <w:ind w:left="284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ALLEGATO 3</w:t>
      </w:r>
    </w:p>
    <w:p w14:paraId="494F9909" w14:textId="77777777" w:rsidR="00F91254" w:rsidRDefault="00F91254" w:rsidP="00F91254">
      <w:pPr>
        <w:pStyle w:val="Paragrafoelenco"/>
        <w:tabs>
          <w:tab w:val="left" w:pos="5679"/>
        </w:tabs>
        <w:spacing w:after="240" w:line="240" w:lineRule="auto"/>
        <w:ind w:left="284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0DAED899" w14:textId="77777777" w:rsidR="00F91254" w:rsidRPr="00C86BB4" w:rsidRDefault="00F91254" w:rsidP="00F91254">
      <w:pPr>
        <w:tabs>
          <w:tab w:val="left" w:pos="5679"/>
        </w:tabs>
        <w:spacing w:after="24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 w:rsidRPr="00C86BB4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Istruzioni operative agli Enti territorialmente competenti ai fini della richiesta delle anticipazioni finanziarie ai sensi dell’art. 4 della deliberazione ARERA </w:t>
      </w:r>
      <w:bookmarkStart w:id="0" w:name="_Hlk45547924"/>
      <w:r w:rsidRPr="00C86BB4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238/2020/R/</w:t>
      </w:r>
      <w:proofErr w:type="spellStart"/>
      <w:r w:rsidRPr="00C86BB4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rif</w:t>
      </w:r>
      <w:bookmarkEnd w:id="0"/>
      <w:r w:rsidRPr="00C86BB4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.</w:t>
      </w:r>
      <w:proofErr w:type="spellEnd"/>
    </w:p>
    <w:p w14:paraId="07B80F65" w14:textId="77777777" w:rsidR="00F91254" w:rsidRDefault="00F91254" w:rsidP="00F91254">
      <w:pPr>
        <w:tabs>
          <w:tab w:val="left" w:pos="0"/>
          <w:tab w:val="left" w:pos="8615"/>
        </w:tabs>
        <w:spacing w:before="120" w:after="100" w:afterAutospacing="1"/>
        <w:ind w:right="57"/>
        <w:jc w:val="both"/>
        <w:rPr>
          <w:sz w:val="24"/>
          <w:szCs w:val="24"/>
        </w:rPr>
      </w:pPr>
      <w:r w:rsidRPr="00CF347B">
        <w:rPr>
          <w:sz w:val="24"/>
          <w:szCs w:val="24"/>
        </w:rPr>
        <w:t>La richiesta di accesso al meccanismo di anticipazione può essere effettuata da tutti</w:t>
      </w:r>
      <w:r>
        <w:rPr>
          <w:sz w:val="24"/>
          <w:szCs w:val="24"/>
        </w:rPr>
        <w:t xml:space="preserve"> </w:t>
      </w:r>
      <w:r w:rsidRPr="00CF347B">
        <w:rPr>
          <w:sz w:val="24"/>
          <w:szCs w:val="24"/>
        </w:rPr>
        <w:t>gli Enti territorialmente competenti che abbiano applicato la metodologia tariffaria</w:t>
      </w:r>
      <w:r>
        <w:rPr>
          <w:sz w:val="24"/>
          <w:szCs w:val="24"/>
        </w:rPr>
        <w:t xml:space="preserve"> </w:t>
      </w:r>
      <w:r w:rsidRPr="00CF347B">
        <w:rPr>
          <w:sz w:val="24"/>
          <w:szCs w:val="24"/>
        </w:rPr>
        <w:t xml:space="preserve">prevista dal MTR </w:t>
      </w:r>
      <w:r>
        <w:rPr>
          <w:sz w:val="24"/>
          <w:szCs w:val="24"/>
        </w:rPr>
        <w:t>(Allegato A alla deliberazione 443/2019/</w:t>
      </w:r>
      <w:proofErr w:type="spellStart"/>
      <w:r>
        <w:rPr>
          <w:sz w:val="24"/>
          <w:szCs w:val="24"/>
        </w:rPr>
        <w:t>rif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) </w:t>
      </w:r>
      <w:r w:rsidRPr="00CF347B">
        <w:rPr>
          <w:sz w:val="24"/>
          <w:szCs w:val="24"/>
        </w:rPr>
        <w:t xml:space="preserve">e che abbiano pertanto trasmesso all’Autorità </w:t>
      </w:r>
      <w:r>
        <w:rPr>
          <w:sz w:val="24"/>
          <w:szCs w:val="24"/>
        </w:rPr>
        <w:t xml:space="preserve">mediante il portale extranet appositamente predisposto </w:t>
      </w:r>
      <w:r w:rsidRPr="009956AC">
        <w:rPr>
          <w:sz w:val="24"/>
          <w:szCs w:val="24"/>
        </w:rPr>
        <w:t>(</w:t>
      </w:r>
      <w:hyperlink r:id="rId7" w:history="1">
        <w:r>
          <w:rPr>
            <w:rStyle w:val="Collegamentoipertestuale"/>
          </w:rPr>
          <w:t>https://www.arera.it/it/comunicati/20/200703.htm</w:t>
        </w:r>
      </w:hyperlink>
      <w:r w:rsidRPr="009956A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F347B">
        <w:rPr>
          <w:sz w:val="24"/>
          <w:szCs w:val="24"/>
        </w:rPr>
        <w:t>la documentazione</w:t>
      </w:r>
      <w:r>
        <w:rPr>
          <w:sz w:val="24"/>
          <w:szCs w:val="24"/>
        </w:rPr>
        <w:t xml:space="preserve"> </w:t>
      </w:r>
      <w:r w:rsidRPr="00CF347B">
        <w:rPr>
          <w:sz w:val="24"/>
          <w:szCs w:val="24"/>
        </w:rPr>
        <w:t>di cui all’articolo 6 della deliberazione 443/2019/R/</w:t>
      </w:r>
      <w:proofErr w:type="spellStart"/>
      <w:r>
        <w:rPr>
          <w:sz w:val="24"/>
          <w:szCs w:val="24"/>
        </w:rPr>
        <w:t>rif</w:t>
      </w:r>
      <w:proofErr w:type="spellEnd"/>
      <w:r>
        <w:rPr>
          <w:sz w:val="24"/>
          <w:szCs w:val="24"/>
        </w:rPr>
        <w:t xml:space="preserve"> (</w:t>
      </w:r>
      <w:r w:rsidRPr="00CF347B">
        <w:rPr>
          <w:sz w:val="24"/>
          <w:szCs w:val="24"/>
        </w:rPr>
        <w:t>secondo quanto stabilito al</w:t>
      </w:r>
      <w:r>
        <w:rPr>
          <w:sz w:val="24"/>
          <w:szCs w:val="24"/>
        </w:rPr>
        <w:t xml:space="preserve"> </w:t>
      </w:r>
      <w:r w:rsidRPr="00CF347B">
        <w:rPr>
          <w:sz w:val="24"/>
          <w:szCs w:val="24"/>
        </w:rPr>
        <w:t>successivo articolo 8 della medesima deliberazione</w:t>
      </w:r>
      <w:r>
        <w:rPr>
          <w:sz w:val="24"/>
          <w:szCs w:val="24"/>
        </w:rPr>
        <w:t>), con indicazione de</w:t>
      </w:r>
      <w:r w:rsidRPr="00CF347B">
        <w:rPr>
          <w:sz w:val="24"/>
          <w:szCs w:val="24"/>
        </w:rPr>
        <w:t>i gestori beneficiari</w:t>
      </w:r>
      <w:r>
        <w:rPr>
          <w:sz w:val="24"/>
          <w:szCs w:val="24"/>
        </w:rPr>
        <w:t xml:space="preserve"> </w:t>
      </w:r>
      <w:r w:rsidRPr="00CF347B">
        <w:rPr>
          <w:sz w:val="24"/>
          <w:szCs w:val="24"/>
        </w:rPr>
        <w:t>delle risorse richieste.</w:t>
      </w:r>
    </w:p>
    <w:p w14:paraId="3B3356CE" w14:textId="77777777" w:rsidR="00F91254" w:rsidRDefault="00F91254" w:rsidP="00F91254">
      <w:pPr>
        <w:tabs>
          <w:tab w:val="left" w:pos="0"/>
          <w:tab w:val="left" w:pos="8615"/>
        </w:tabs>
        <w:spacing w:before="120" w:after="100" w:afterAutospacing="1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La richiesta può essere effettuata esclusivamente accedendo a</w:t>
      </w:r>
      <w:r w:rsidRPr="008C15D0">
        <w:rPr>
          <w:sz w:val="24"/>
          <w:szCs w:val="24"/>
        </w:rPr>
        <w:t xml:space="preserve">l portale appositamente predisposto raggiungibile dal seguente link </w:t>
      </w:r>
      <w:r w:rsidRPr="00943D3B">
        <w:rPr>
          <w:rStyle w:val="Collegamentoipertestuale"/>
          <w:sz w:val="24"/>
          <w:szCs w:val="24"/>
        </w:rPr>
        <w:t>https://</w:t>
      </w:r>
      <w:r>
        <w:rPr>
          <w:rStyle w:val="Collegamentoipertestuale"/>
          <w:sz w:val="24"/>
          <w:szCs w:val="24"/>
        </w:rPr>
        <w:t>dataentryrifiuti.csea.it</w:t>
      </w:r>
      <w:r>
        <w:rPr>
          <w:sz w:val="24"/>
          <w:szCs w:val="24"/>
        </w:rPr>
        <w:t>.</w:t>
      </w:r>
    </w:p>
    <w:p w14:paraId="3B95F0C2" w14:textId="77777777" w:rsidR="00F91254" w:rsidRDefault="00F91254" w:rsidP="00F91254">
      <w:pPr>
        <w:tabs>
          <w:tab w:val="left" w:pos="0"/>
          <w:tab w:val="left" w:pos="8615"/>
        </w:tabs>
        <w:spacing w:before="120" w:after="100" w:afterAutospacing="1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fini dell’ammissibilità della richiesta di anticipazioni finanziarie, gli Enti territorialmente competenti trasmettono, </w:t>
      </w:r>
      <w:r w:rsidRPr="00824AA8">
        <w:rPr>
          <w:sz w:val="24"/>
          <w:szCs w:val="24"/>
          <w:u w:val="single"/>
        </w:rPr>
        <w:t>entro il 3</w:t>
      </w:r>
      <w:r>
        <w:rPr>
          <w:sz w:val="24"/>
          <w:szCs w:val="24"/>
          <w:u w:val="single"/>
        </w:rPr>
        <w:t>0</w:t>
      </w:r>
      <w:r w:rsidRPr="00824AA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novembre</w:t>
      </w:r>
      <w:r w:rsidRPr="00824AA8">
        <w:rPr>
          <w:sz w:val="24"/>
          <w:szCs w:val="24"/>
          <w:u w:val="single"/>
        </w:rPr>
        <w:t xml:space="preserve"> 2020</w:t>
      </w:r>
      <w:r>
        <w:rPr>
          <w:sz w:val="24"/>
          <w:szCs w:val="24"/>
        </w:rPr>
        <w:t xml:space="preserve">, la relativa richiesta alla Cassa (sarà quest’ultima ad informare l’Autorità), corredata </w:t>
      </w:r>
      <w:r w:rsidRPr="00045A7B">
        <w:rPr>
          <w:sz w:val="24"/>
          <w:szCs w:val="24"/>
        </w:rPr>
        <w:t>da una dichiarazione, resa ai sensi</w:t>
      </w:r>
      <w:r>
        <w:rPr>
          <w:sz w:val="24"/>
          <w:szCs w:val="24"/>
        </w:rPr>
        <w:t xml:space="preserve"> </w:t>
      </w:r>
      <w:r w:rsidRPr="00045A7B">
        <w:rPr>
          <w:sz w:val="24"/>
          <w:szCs w:val="24"/>
        </w:rPr>
        <w:t>dell’articolo 47 del d.P.R. 445/2000, che attesti il rispetto</w:t>
      </w:r>
      <w:r>
        <w:rPr>
          <w:sz w:val="24"/>
          <w:szCs w:val="24"/>
        </w:rPr>
        <w:t>,</w:t>
      </w:r>
      <w:r w:rsidRPr="00045A7B">
        <w:rPr>
          <w:sz w:val="24"/>
          <w:szCs w:val="24"/>
        </w:rPr>
        <w:t xml:space="preserve"> da parte di tutti i gestori </w:t>
      </w:r>
      <w:r>
        <w:rPr>
          <w:sz w:val="24"/>
          <w:szCs w:val="24"/>
        </w:rPr>
        <w:t>indicati (</w:t>
      </w:r>
      <w:r w:rsidRPr="00045A7B">
        <w:rPr>
          <w:sz w:val="24"/>
          <w:szCs w:val="24"/>
        </w:rPr>
        <w:t>beneficiari dell’anticipazione</w:t>
      </w:r>
      <w:r>
        <w:rPr>
          <w:sz w:val="24"/>
          <w:szCs w:val="24"/>
        </w:rPr>
        <w:t>),</w:t>
      </w:r>
      <w:r w:rsidRPr="00045A7B">
        <w:rPr>
          <w:sz w:val="24"/>
          <w:szCs w:val="24"/>
        </w:rPr>
        <w:t xml:space="preserve"> delle </w:t>
      </w:r>
      <w:r>
        <w:rPr>
          <w:sz w:val="24"/>
          <w:szCs w:val="24"/>
        </w:rPr>
        <w:t xml:space="preserve">seguenti </w:t>
      </w:r>
      <w:r w:rsidRPr="00045A7B">
        <w:rPr>
          <w:sz w:val="24"/>
          <w:szCs w:val="24"/>
        </w:rPr>
        <w:t>condizioni</w:t>
      </w:r>
      <w:r>
        <w:rPr>
          <w:sz w:val="24"/>
          <w:szCs w:val="24"/>
        </w:rPr>
        <w:t xml:space="preserve"> come previste dal comma 4.3 della </w:t>
      </w:r>
      <w:r w:rsidRPr="00D66F74">
        <w:rPr>
          <w:sz w:val="24"/>
          <w:szCs w:val="24"/>
        </w:rPr>
        <w:t xml:space="preserve">deliberazione </w:t>
      </w:r>
      <w:r>
        <w:rPr>
          <w:sz w:val="24"/>
          <w:szCs w:val="24"/>
        </w:rPr>
        <w:t>238</w:t>
      </w:r>
      <w:r w:rsidRPr="00D66F74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Pr="00D66F74">
        <w:rPr>
          <w:sz w:val="24"/>
          <w:szCs w:val="24"/>
        </w:rPr>
        <w:t>/R/</w:t>
      </w:r>
      <w:proofErr w:type="spellStart"/>
      <w:r w:rsidRPr="00D66F74">
        <w:rPr>
          <w:sz w:val="24"/>
          <w:szCs w:val="24"/>
        </w:rPr>
        <w:t>rif</w:t>
      </w:r>
      <w:proofErr w:type="spellEnd"/>
      <w:r>
        <w:rPr>
          <w:sz w:val="24"/>
          <w:szCs w:val="24"/>
        </w:rPr>
        <w:t>:</w:t>
      </w:r>
      <w:r w:rsidRPr="00045A7B">
        <w:rPr>
          <w:sz w:val="24"/>
          <w:szCs w:val="24"/>
        </w:rPr>
        <w:t xml:space="preserve"> </w:t>
      </w:r>
    </w:p>
    <w:p w14:paraId="024206BE" w14:textId="77777777" w:rsidR="00F91254" w:rsidRPr="0016279C" w:rsidRDefault="00F91254" w:rsidP="00F91254">
      <w:pPr>
        <w:pStyle w:val="Paragrafoelenco"/>
        <w:numPr>
          <w:ilvl w:val="0"/>
          <w:numId w:val="1"/>
        </w:numPr>
        <w:tabs>
          <w:tab w:val="left" w:pos="0"/>
        </w:tabs>
        <w:spacing w:before="240" w:after="240"/>
        <w:ind w:left="425" w:right="57" w:hanging="29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Pr="003B62E7">
        <w:rPr>
          <w:sz w:val="24"/>
          <w:szCs w:val="24"/>
        </w:rPr>
        <w:t>assenza di situazioni di scioglimento o di liquidazione del</w:t>
      </w:r>
      <w:r>
        <w:rPr>
          <w:sz w:val="24"/>
          <w:szCs w:val="24"/>
        </w:rPr>
        <w:t>/dei</w:t>
      </w:r>
      <w:r w:rsidRPr="003B62E7">
        <w:rPr>
          <w:sz w:val="24"/>
          <w:szCs w:val="24"/>
        </w:rPr>
        <w:t xml:space="preserve"> gestore</w:t>
      </w:r>
      <w:r>
        <w:rPr>
          <w:sz w:val="24"/>
          <w:szCs w:val="24"/>
        </w:rPr>
        <w:t>/i</w:t>
      </w:r>
      <w:r w:rsidRPr="003B62E7">
        <w:rPr>
          <w:sz w:val="24"/>
          <w:szCs w:val="24"/>
        </w:rPr>
        <w:t xml:space="preserve"> beneficiario</w:t>
      </w:r>
      <w:r>
        <w:rPr>
          <w:sz w:val="24"/>
          <w:szCs w:val="24"/>
        </w:rPr>
        <w:t>/i</w:t>
      </w:r>
      <w:r w:rsidRPr="003B62E7">
        <w:rPr>
          <w:sz w:val="24"/>
          <w:szCs w:val="24"/>
        </w:rPr>
        <w:t xml:space="preserve">, di procedure concorsuali per insolvenza o accordi stragiudiziali o piani asseverati ai sensi dell'articolo 67, comma 3, lettera d), della legge fallimentare di cui al regio decreto 16 marzo 1942, n. 267 o accordi di ristrutturazione dei debiti ai sensi dell'articolo 182-bis della medesima legge; </w:t>
      </w:r>
    </w:p>
    <w:p w14:paraId="3A094658" w14:textId="77777777" w:rsidR="00F91254" w:rsidRPr="003B62E7" w:rsidRDefault="00F91254" w:rsidP="00F91254">
      <w:pPr>
        <w:pStyle w:val="Paragrafoelenco"/>
        <w:numPr>
          <w:ilvl w:val="0"/>
          <w:numId w:val="1"/>
        </w:numPr>
        <w:tabs>
          <w:tab w:val="left" w:pos="0"/>
        </w:tabs>
        <w:spacing w:before="240" w:after="100" w:afterAutospacing="1"/>
        <w:ind w:left="425" w:right="57" w:hanging="295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Pr="003B62E7">
        <w:rPr>
          <w:sz w:val="24"/>
          <w:szCs w:val="24"/>
        </w:rPr>
        <w:t>ottemperanza agli obblighi di predisposizione tariffaria ai sensi di quanto previsto dalla deliberazione 443/2019/R/</w:t>
      </w:r>
      <w:proofErr w:type="spellStart"/>
      <w:r>
        <w:rPr>
          <w:sz w:val="24"/>
          <w:szCs w:val="24"/>
        </w:rPr>
        <w:t>rif</w:t>
      </w:r>
      <w:proofErr w:type="spellEnd"/>
      <w:r w:rsidRPr="003B62E7">
        <w:rPr>
          <w:sz w:val="24"/>
          <w:szCs w:val="24"/>
        </w:rPr>
        <w:t xml:space="preserve"> con trasmissione degli atti, dei dati e della documentazione di cui ai commi 6.1 e 6.2 della </w:t>
      </w:r>
      <w:r>
        <w:rPr>
          <w:sz w:val="24"/>
          <w:szCs w:val="24"/>
        </w:rPr>
        <w:t>medesima</w:t>
      </w:r>
      <w:r w:rsidRPr="003B62E7">
        <w:rPr>
          <w:sz w:val="24"/>
          <w:szCs w:val="24"/>
        </w:rPr>
        <w:t xml:space="preserve"> deliberazione.</w:t>
      </w:r>
    </w:p>
    <w:p w14:paraId="10DC74F7" w14:textId="77777777" w:rsidR="00F91254" w:rsidRPr="007F6536" w:rsidRDefault="00F91254" w:rsidP="00F91254">
      <w:pPr>
        <w:tabs>
          <w:tab w:val="left" w:pos="0"/>
        </w:tabs>
        <w:spacing w:before="120" w:after="100" w:afterAutospacing="1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Contestualmente, pena l’inammissibilità della richiesta di anticipazioni finanziarie, i medesimi Enti territorialmente competenti trasmettono, per ogni ambito tariffario</w:t>
      </w:r>
      <w:r>
        <w:rPr>
          <w:rStyle w:val="Rimandonotaapidipagina"/>
          <w:sz w:val="24"/>
          <w:szCs w:val="24"/>
        </w:rPr>
        <w:footnoteReference w:id="1"/>
      </w:r>
      <w:r>
        <w:rPr>
          <w:sz w:val="24"/>
          <w:szCs w:val="24"/>
        </w:rPr>
        <w:t xml:space="preserve"> del</w:t>
      </w:r>
      <w:r w:rsidRPr="00590219">
        <w:rPr>
          <w:sz w:val="24"/>
          <w:szCs w:val="24"/>
        </w:rPr>
        <w:t xml:space="preserve"> gestore </w:t>
      </w:r>
      <w:r>
        <w:rPr>
          <w:sz w:val="24"/>
          <w:szCs w:val="24"/>
        </w:rPr>
        <w:t>beneficiario dell’anticipazione ovvero de</w:t>
      </w:r>
      <w:r w:rsidRPr="007F6536">
        <w:rPr>
          <w:sz w:val="24"/>
          <w:szCs w:val="24"/>
        </w:rPr>
        <w:t xml:space="preserve">i gestori beneficiari </w:t>
      </w:r>
      <w:r>
        <w:rPr>
          <w:sz w:val="24"/>
          <w:szCs w:val="24"/>
        </w:rPr>
        <w:t xml:space="preserve">delle anticipazioni </w:t>
      </w:r>
      <w:r w:rsidRPr="007F6536">
        <w:rPr>
          <w:sz w:val="24"/>
          <w:szCs w:val="24"/>
        </w:rPr>
        <w:t>nel</w:t>
      </w:r>
      <w:r>
        <w:rPr>
          <w:sz w:val="24"/>
          <w:szCs w:val="24"/>
        </w:rPr>
        <w:t xml:space="preserve"> </w:t>
      </w:r>
      <w:r w:rsidRPr="007F6536">
        <w:rPr>
          <w:sz w:val="24"/>
          <w:szCs w:val="24"/>
        </w:rPr>
        <w:t xml:space="preserve">caso in cui l’Ente territorialmente competente individui più </w:t>
      </w:r>
      <w:r>
        <w:rPr>
          <w:sz w:val="24"/>
          <w:szCs w:val="24"/>
        </w:rPr>
        <w:t xml:space="preserve">gestori, la documentazione riepilogativa dell’importo per cui si richiede l’anticipazione, </w:t>
      </w:r>
      <w:r w:rsidRPr="001E28DA">
        <w:rPr>
          <w:sz w:val="24"/>
          <w:szCs w:val="24"/>
        </w:rPr>
        <w:t>corredata da una dichiarazione, resa ai sensi dell’articolo</w:t>
      </w:r>
      <w:r>
        <w:rPr>
          <w:sz w:val="24"/>
          <w:szCs w:val="24"/>
        </w:rPr>
        <w:t xml:space="preserve"> </w:t>
      </w:r>
      <w:r w:rsidRPr="001E28DA">
        <w:rPr>
          <w:sz w:val="24"/>
          <w:szCs w:val="24"/>
        </w:rPr>
        <w:t>47 del d.P.R. 445/2000</w:t>
      </w:r>
      <w:r>
        <w:rPr>
          <w:sz w:val="24"/>
          <w:szCs w:val="24"/>
        </w:rPr>
        <w:t>, con evidenza:</w:t>
      </w:r>
    </w:p>
    <w:p w14:paraId="747FEDC9" w14:textId="77777777" w:rsidR="00F91254" w:rsidRDefault="00F91254" w:rsidP="00F91254">
      <w:pPr>
        <w:pStyle w:val="Paragrafoelenco"/>
        <w:numPr>
          <w:ilvl w:val="0"/>
          <w:numId w:val="2"/>
        </w:numPr>
        <w:tabs>
          <w:tab w:val="left" w:pos="0"/>
        </w:tabs>
        <w:spacing w:before="120" w:after="100" w:afterAutospacing="1"/>
        <w:ind w:left="426" w:right="57" w:hanging="294"/>
        <w:jc w:val="both"/>
        <w:rPr>
          <w:sz w:val="24"/>
          <w:szCs w:val="24"/>
        </w:rPr>
      </w:pPr>
      <w:r>
        <w:rPr>
          <w:sz w:val="24"/>
          <w:szCs w:val="24"/>
        </w:rPr>
        <w:t>del</w:t>
      </w:r>
      <w:r w:rsidRPr="00E115F3">
        <w:rPr>
          <w:sz w:val="24"/>
          <w:szCs w:val="24"/>
        </w:rPr>
        <w:t>lo schema regolatorio selezionato</w:t>
      </w:r>
      <w:r>
        <w:rPr>
          <w:sz w:val="24"/>
          <w:szCs w:val="24"/>
        </w:rPr>
        <w:t xml:space="preserve"> </w:t>
      </w:r>
      <w:r w:rsidRPr="00E115F3">
        <w:rPr>
          <w:sz w:val="24"/>
          <w:szCs w:val="24"/>
        </w:rPr>
        <w:t>nell’ambito della matrice di schemi di cui al comma 4.4 del MTR</w:t>
      </w:r>
      <w:r>
        <w:rPr>
          <w:sz w:val="24"/>
          <w:szCs w:val="24"/>
        </w:rPr>
        <w:t>;</w:t>
      </w:r>
    </w:p>
    <w:p w14:paraId="6AD231DA" w14:textId="77777777" w:rsidR="00F91254" w:rsidRDefault="00F91254" w:rsidP="00F91254">
      <w:pPr>
        <w:pStyle w:val="Paragrafoelenco"/>
        <w:numPr>
          <w:ilvl w:val="0"/>
          <w:numId w:val="2"/>
        </w:numPr>
        <w:tabs>
          <w:tab w:val="left" w:pos="0"/>
        </w:tabs>
        <w:spacing w:before="120" w:after="100" w:afterAutospacing="1"/>
        <w:ind w:left="426" w:right="57" w:hanging="29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</w:t>
      </w:r>
      <w:r w:rsidRPr="00E115F3">
        <w:rPr>
          <w:sz w:val="24"/>
          <w:szCs w:val="24"/>
        </w:rPr>
        <w:t>l limite alla crescita annuale delle entrate tariffarie</w:t>
      </w:r>
      <w:r>
        <w:rPr>
          <w:sz w:val="24"/>
          <w:szCs w:val="24"/>
        </w:rPr>
        <w:t xml:space="preserve"> </w:t>
      </w:r>
      <w:r w:rsidRPr="00E6315B">
        <w:rPr>
          <w:i/>
          <w:iCs/>
          <w:sz w:val="24"/>
          <w:szCs w:val="24"/>
        </w:rPr>
        <w:t>ρ</w:t>
      </w:r>
      <w:r w:rsidRPr="00E115F3">
        <w:rPr>
          <w:sz w:val="24"/>
          <w:szCs w:val="24"/>
        </w:rPr>
        <w:t xml:space="preserve"> di cui al medesimo articolo 4 del MTR</w:t>
      </w:r>
      <w:r>
        <w:rPr>
          <w:sz w:val="24"/>
          <w:szCs w:val="24"/>
        </w:rPr>
        <w:t xml:space="preserve"> (</w:t>
      </w:r>
      <w:r w:rsidRPr="00E6315B">
        <w:rPr>
          <w:i/>
          <w:iCs/>
          <w:sz w:val="24"/>
          <w:szCs w:val="24"/>
        </w:rPr>
        <w:t>ρ</w:t>
      </w:r>
      <w:r>
        <w:rPr>
          <w:i/>
          <w:iCs/>
          <w:sz w:val="24"/>
          <w:szCs w:val="24"/>
        </w:rPr>
        <w:t>≤6,6%</w:t>
      </w:r>
      <w:r w:rsidRPr="0051275F">
        <w:rPr>
          <w:sz w:val="24"/>
          <w:szCs w:val="24"/>
        </w:rPr>
        <w:t>)</w:t>
      </w:r>
      <w:r w:rsidRPr="00E115F3">
        <w:rPr>
          <w:sz w:val="24"/>
          <w:szCs w:val="24"/>
        </w:rPr>
        <w:t>, ovvero</w:t>
      </w:r>
      <w:r>
        <w:rPr>
          <w:sz w:val="24"/>
          <w:szCs w:val="24"/>
        </w:rPr>
        <w:t xml:space="preserve"> indicazione</w:t>
      </w:r>
      <w:r w:rsidRPr="00E115F3">
        <w:rPr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 w:rsidRPr="00E115F3">
        <w:rPr>
          <w:sz w:val="24"/>
          <w:szCs w:val="24"/>
        </w:rPr>
        <w:t xml:space="preserve">la necessità di superamento del limite </w:t>
      </w:r>
      <w:r>
        <w:rPr>
          <w:sz w:val="24"/>
          <w:szCs w:val="24"/>
        </w:rPr>
        <w:t>medesimo</w:t>
      </w:r>
      <w:r w:rsidRPr="00E115F3">
        <w:rPr>
          <w:sz w:val="24"/>
          <w:szCs w:val="24"/>
        </w:rPr>
        <w:t xml:space="preserve"> come risultante dalla relazione presentata all’Autorità ai sensi de</w:t>
      </w:r>
      <w:r>
        <w:rPr>
          <w:sz w:val="24"/>
          <w:szCs w:val="24"/>
        </w:rPr>
        <w:t>i</w:t>
      </w:r>
      <w:r w:rsidRPr="00E115F3">
        <w:rPr>
          <w:sz w:val="24"/>
          <w:szCs w:val="24"/>
        </w:rPr>
        <w:t xml:space="preserve"> comm</w:t>
      </w:r>
      <w:r>
        <w:rPr>
          <w:sz w:val="24"/>
          <w:szCs w:val="24"/>
        </w:rPr>
        <w:t>i</w:t>
      </w:r>
      <w:r w:rsidRPr="00E115F3">
        <w:rPr>
          <w:sz w:val="24"/>
          <w:szCs w:val="24"/>
        </w:rPr>
        <w:t xml:space="preserve"> 4.5</w:t>
      </w:r>
      <w:r>
        <w:rPr>
          <w:sz w:val="24"/>
          <w:szCs w:val="24"/>
        </w:rPr>
        <w:t xml:space="preserve"> e 4.5</w:t>
      </w:r>
      <w:r w:rsidRPr="007B44CB">
        <w:rPr>
          <w:i/>
          <w:sz w:val="24"/>
          <w:szCs w:val="24"/>
        </w:rPr>
        <w:t>bi</w:t>
      </w:r>
      <w:r w:rsidRPr="009825DF">
        <w:rPr>
          <w:i/>
          <w:sz w:val="24"/>
          <w:szCs w:val="24"/>
        </w:rPr>
        <w:t>s</w:t>
      </w:r>
      <w:r w:rsidRPr="00E115F3">
        <w:rPr>
          <w:sz w:val="24"/>
          <w:szCs w:val="24"/>
        </w:rPr>
        <w:t xml:space="preserve"> del MTR</w:t>
      </w:r>
      <w:r>
        <w:rPr>
          <w:sz w:val="24"/>
          <w:szCs w:val="24"/>
        </w:rPr>
        <w:t>;</w:t>
      </w:r>
    </w:p>
    <w:p w14:paraId="1CCF5F86" w14:textId="77777777" w:rsidR="00F91254" w:rsidRDefault="00F91254" w:rsidP="00F91254">
      <w:pPr>
        <w:pStyle w:val="Paragrafoelenco"/>
        <w:numPr>
          <w:ilvl w:val="0"/>
          <w:numId w:val="2"/>
        </w:numPr>
        <w:tabs>
          <w:tab w:val="left" w:pos="0"/>
        </w:tabs>
        <w:spacing w:before="120" w:after="100" w:afterAutospacing="1"/>
        <w:ind w:left="426" w:right="57" w:hanging="294"/>
        <w:jc w:val="both"/>
        <w:rPr>
          <w:sz w:val="24"/>
          <w:szCs w:val="24"/>
        </w:rPr>
      </w:pPr>
      <w:r>
        <w:rPr>
          <w:sz w:val="24"/>
          <w:szCs w:val="24"/>
        </w:rPr>
        <w:t>de</w:t>
      </w:r>
      <w:r w:rsidRPr="00211352">
        <w:rPr>
          <w:sz w:val="24"/>
          <w:szCs w:val="24"/>
        </w:rPr>
        <w:t>l valore</w:t>
      </w:r>
      <w:r>
        <w:rPr>
          <w:sz w:val="24"/>
          <w:szCs w:val="24"/>
        </w:rPr>
        <w:t xml:space="preserve"> della voce</w:t>
      </w:r>
      <w:r w:rsidRPr="00211352">
        <w:rPr>
          <w:sz w:val="24"/>
          <w:szCs w:val="24"/>
        </w:rPr>
        <w:t xml:space="preserve"> </w:t>
      </w:r>
      <w:r w:rsidRPr="000767CB">
        <w:rPr>
          <w:rFonts w:ascii="Cambria Math" w:eastAsia="Times New Roman" w:hAnsi="Cambria Math" w:cs="Cambria Math"/>
          <w:i/>
          <w:iCs/>
          <w:sz w:val="24"/>
          <w:szCs w:val="24"/>
          <w:lang w:eastAsia="it-IT"/>
        </w:rPr>
        <w:t>𝑅𝐶𝑁𝐷</w:t>
      </w:r>
      <w:r w:rsidRPr="000767CB">
        <w:rPr>
          <w:rFonts w:ascii="Cambria Math" w:eastAsia="Times New Roman" w:hAnsi="Cambria Math" w:cs="Cambria Math"/>
          <w:i/>
          <w:iCs/>
          <w:sz w:val="24"/>
          <w:szCs w:val="24"/>
          <w:vertAlign w:val="subscript"/>
          <w:lang w:eastAsia="it-IT"/>
        </w:rPr>
        <w:t>TV</w:t>
      </w:r>
      <w:r w:rsidRPr="00211352">
        <w:rPr>
          <w:sz w:val="24"/>
          <w:szCs w:val="24"/>
        </w:rPr>
        <w:t xml:space="preserve"> (</w:t>
      </w:r>
      <w:r>
        <w:rPr>
          <w:sz w:val="24"/>
          <w:szCs w:val="24"/>
        </w:rPr>
        <w:t>importo in euro</w:t>
      </w:r>
      <w:r w:rsidRPr="00211352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CF347B">
        <w:rPr>
          <w:sz w:val="24"/>
          <w:szCs w:val="24"/>
        </w:rPr>
        <w:t>relativa al</w:t>
      </w:r>
      <w:r>
        <w:rPr>
          <w:sz w:val="24"/>
          <w:szCs w:val="24"/>
        </w:rPr>
        <w:t xml:space="preserve">le </w:t>
      </w:r>
      <w:r w:rsidRPr="00CF347B">
        <w:rPr>
          <w:sz w:val="24"/>
          <w:szCs w:val="24"/>
        </w:rPr>
        <w:t>minor</w:t>
      </w:r>
      <w:r>
        <w:rPr>
          <w:sz w:val="24"/>
          <w:szCs w:val="24"/>
        </w:rPr>
        <w:t>i entrate tariffarie</w:t>
      </w:r>
      <w:r w:rsidRPr="00CF347B">
        <w:rPr>
          <w:sz w:val="24"/>
          <w:szCs w:val="24"/>
        </w:rPr>
        <w:t xml:space="preserve"> derivant</w:t>
      </w:r>
      <w:r>
        <w:rPr>
          <w:sz w:val="24"/>
          <w:szCs w:val="24"/>
        </w:rPr>
        <w:t>i</w:t>
      </w:r>
      <w:r w:rsidRPr="00CF347B">
        <w:rPr>
          <w:sz w:val="24"/>
          <w:szCs w:val="24"/>
        </w:rPr>
        <w:t xml:space="preserve"> dall’applicazione </w:t>
      </w:r>
      <w:r>
        <w:rPr>
          <w:sz w:val="24"/>
          <w:szCs w:val="24"/>
        </w:rPr>
        <w:t xml:space="preserve">dei fattori di correzione adottati con </w:t>
      </w:r>
      <w:r w:rsidRPr="00CF347B">
        <w:rPr>
          <w:sz w:val="24"/>
          <w:szCs w:val="24"/>
        </w:rPr>
        <w:t>la deliberazione ARERA 158/2020/R/</w:t>
      </w:r>
      <w:proofErr w:type="spellStart"/>
      <w:r w:rsidRPr="00CF347B">
        <w:rPr>
          <w:sz w:val="24"/>
          <w:szCs w:val="24"/>
        </w:rPr>
        <w:t>rif</w:t>
      </w:r>
      <w:proofErr w:type="spellEnd"/>
      <w:r w:rsidRPr="00CF347B">
        <w:rPr>
          <w:sz w:val="24"/>
          <w:szCs w:val="24"/>
        </w:rPr>
        <w:t xml:space="preserve"> per le utenze non domestiche</w:t>
      </w:r>
      <w:r>
        <w:rPr>
          <w:sz w:val="24"/>
          <w:szCs w:val="24"/>
        </w:rPr>
        <w:t>;</w:t>
      </w:r>
    </w:p>
    <w:p w14:paraId="5A905DBD" w14:textId="77777777" w:rsidR="00F91254" w:rsidRDefault="00F91254" w:rsidP="00F91254">
      <w:pPr>
        <w:pStyle w:val="Paragrafoelenco"/>
        <w:numPr>
          <w:ilvl w:val="0"/>
          <w:numId w:val="2"/>
        </w:numPr>
        <w:tabs>
          <w:tab w:val="left" w:pos="0"/>
        </w:tabs>
        <w:spacing w:before="120" w:after="100" w:afterAutospacing="1"/>
        <w:ind w:left="426" w:right="57" w:hanging="294"/>
        <w:jc w:val="both"/>
        <w:rPr>
          <w:sz w:val="24"/>
          <w:szCs w:val="24"/>
        </w:rPr>
      </w:pPr>
      <w:r>
        <w:rPr>
          <w:sz w:val="24"/>
          <w:szCs w:val="24"/>
        </w:rPr>
        <w:t>del gestore/dei gestori beneficiario/i delle anticipazioni con i relativi importi richiesti (la somma degli importi deve coincidere con l’importo totale riportato al precedente punto 3);</w:t>
      </w:r>
    </w:p>
    <w:p w14:paraId="6F68EF21" w14:textId="77777777" w:rsidR="00F91254" w:rsidRDefault="00F91254" w:rsidP="00F91254">
      <w:pPr>
        <w:pStyle w:val="Paragrafoelenco"/>
        <w:numPr>
          <w:ilvl w:val="0"/>
          <w:numId w:val="2"/>
        </w:numPr>
        <w:tabs>
          <w:tab w:val="left" w:pos="0"/>
        </w:tabs>
        <w:spacing w:before="120" w:after="100" w:afterAutospacing="1"/>
        <w:ind w:left="426" w:right="57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 numero di rate con i relativi importi (massimo tre rate annuali con indicazione del relativo anno) previste per </w:t>
      </w:r>
      <w:r w:rsidRPr="00211352">
        <w:rPr>
          <w:sz w:val="24"/>
          <w:szCs w:val="24"/>
        </w:rPr>
        <w:t xml:space="preserve">il recupero in tariffa della componente </w:t>
      </w:r>
      <w:r w:rsidRPr="000767CB">
        <w:rPr>
          <w:rFonts w:ascii="Cambria Math" w:eastAsia="Times New Roman" w:hAnsi="Cambria Math" w:cs="Cambria Math"/>
          <w:i/>
          <w:iCs/>
          <w:sz w:val="24"/>
          <w:szCs w:val="24"/>
          <w:lang w:eastAsia="it-IT"/>
        </w:rPr>
        <w:t>𝑅𝐶𝑁𝐷</w:t>
      </w:r>
      <w:r w:rsidRPr="000767CB">
        <w:rPr>
          <w:rFonts w:ascii="Cambria Math" w:eastAsia="Times New Roman" w:hAnsi="Cambria Math" w:cs="Cambria Math"/>
          <w:i/>
          <w:iCs/>
          <w:sz w:val="24"/>
          <w:szCs w:val="24"/>
          <w:vertAlign w:val="subscript"/>
          <w:lang w:eastAsia="it-IT"/>
        </w:rPr>
        <w:t>TV</w:t>
      </w:r>
      <w:r w:rsidRPr="00211352">
        <w:rPr>
          <w:sz w:val="24"/>
          <w:szCs w:val="24"/>
        </w:rPr>
        <w:t xml:space="preserve">, sulla base del piano economico-finanziario approvato dal medesimo </w:t>
      </w:r>
      <w:r>
        <w:rPr>
          <w:sz w:val="24"/>
          <w:szCs w:val="24"/>
        </w:rPr>
        <w:t>E</w:t>
      </w:r>
      <w:r w:rsidRPr="00211352">
        <w:rPr>
          <w:sz w:val="24"/>
          <w:szCs w:val="24"/>
        </w:rPr>
        <w:t>nte territorialmente competente per l’anno 2020</w:t>
      </w:r>
      <w:r>
        <w:rPr>
          <w:sz w:val="24"/>
          <w:szCs w:val="24"/>
        </w:rPr>
        <w:t>;</w:t>
      </w:r>
    </w:p>
    <w:p w14:paraId="27AAAC2B" w14:textId="77777777" w:rsidR="00F91254" w:rsidRDefault="00F91254" w:rsidP="00F91254">
      <w:pPr>
        <w:pStyle w:val="Paragrafoelenco"/>
        <w:numPr>
          <w:ilvl w:val="0"/>
          <w:numId w:val="2"/>
        </w:numPr>
        <w:tabs>
          <w:tab w:val="left" w:pos="0"/>
        </w:tabs>
        <w:spacing w:before="120" w:after="100" w:afterAutospacing="1"/>
        <w:ind w:left="426" w:right="57" w:hanging="294"/>
        <w:jc w:val="both"/>
        <w:rPr>
          <w:sz w:val="24"/>
          <w:szCs w:val="24"/>
        </w:rPr>
      </w:pPr>
      <w:r w:rsidRPr="003C09D9">
        <w:rPr>
          <w:sz w:val="24"/>
          <w:szCs w:val="24"/>
        </w:rPr>
        <w:t>per ogni tipologia di utenza non domestica soggetta a sospensione</w:t>
      </w:r>
      <w:r>
        <w:rPr>
          <w:sz w:val="24"/>
          <w:szCs w:val="24"/>
        </w:rPr>
        <w:t xml:space="preserve"> dell’attività produttiva, indicazione</w:t>
      </w:r>
      <w:r w:rsidRPr="003C09D9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Pr="003C09D9">
        <w:rPr>
          <w:sz w:val="24"/>
          <w:szCs w:val="24"/>
        </w:rPr>
        <w:t xml:space="preserve">l </w:t>
      </w:r>
      <w:proofErr w:type="spellStart"/>
      <w:r w:rsidRPr="003C09D9">
        <w:rPr>
          <w:i/>
          <w:iCs/>
          <w:sz w:val="24"/>
          <w:szCs w:val="24"/>
        </w:rPr>
        <w:t>Kd</w:t>
      </w:r>
      <w:proofErr w:type="spellEnd"/>
      <w:r w:rsidRPr="003C09D9">
        <w:rPr>
          <w:sz w:val="24"/>
          <w:szCs w:val="24"/>
        </w:rPr>
        <w:t xml:space="preserve"> originario,</w:t>
      </w:r>
      <w:r>
        <w:rPr>
          <w:sz w:val="24"/>
          <w:szCs w:val="24"/>
        </w:rPr>
        <w:t xml:space="preserve"> del</w:t>
      </w:r>
      <w:r w:rsidRPr="003C09D9">
        <w:rPr>
          <w:sz w:val="24"/>
          <w:szCs w:val="24"/>
        </w:rPr>
        <w:t xml:space="preserve"> </w:t>
      </w:r>
      <w:proofErr w:type="spellStart"/>
      <w:r w:rsidRPr="003C09D9">
        <w:rPr>
          <w:i/>
          <w:iCs/>
          <w:sz w:val="24"/>
          <w:szCs w:val="24"/>
        </w:rPr>
        <w:t>Kd</w:t>
      </w:r>
      <w:proofErr w:type="spellEnd"/>
      <w:r w:rsidRPr="003C09D9">
        <w:rPr>
          <w:sz w:val="24"/>
          <w:szCs w:val="24"/>
        </w:rPr>
        <w:t xml:space="preserve"> ricalcolato ai sensi della 158/2020/R/</w:t>
      </w:r>
      <w:proofErr w:type="spellStart"/>
      <w:r>
        <w:rPr>
          <w:sz w:val="24"/>
          <w:szCs w:val="24"/>
        </w:rPr>
        <w:t>rif</w:t>
      </w:r>
      <w:proofErr w:type="spellEnd"/>
      <w:r w:rsidRPr="003C09D9">
        <w:rPr>
          <w:sz w:val="24"/>
          <w:szCs w:val="24"/>
        </w:rPr>
        <w:t xml:space="preserve">, </w:t>
      </w:r>
      <w:r>
        <w:rPr>
          <w:sz w:val="24"/>
          <w:szCs w:val="24"/>
        </w:rPr>
        <w:t>de</w:t>
      </w:r>
      <w:r w:rsidRPr="003C09D9">
        <w:rPr>
          <w:sz w:val="24"/>
          <w:szCs w:val="24"/>
        </w:rPr>
        <w:t xml:space="preserve">i giorni di sospensione come risultante dai provvedimenti governativi ovvero con altri atti assunti dalle autorità competenti, </w:t>
      </w:r>
      <w:r>
        <w:rPr>
          <w:sz w:val="24"/>
          <w:szCs w:val="24"/>
        </w:rPr>
        <w:t>de</w:t>
      </w:r>
      <w:r w:rsidRPr="003C09D9">
        <w:rPr>
          <w:sz w:val="24"/>
          <w:szCs w:val="24"/>
        </w:rPr>
        <w:t xml:space="preserve">l totale dell’importo scontato per quella tipologia di utenza </w:t>
      </w:r>
      <w:r>
        <w:rPr>
          <w:sz w:val="24"/>
          <w:szCs w:val="24"/>
        </w:rPr>
        <w:t>(</w:t>
      </w:r>
      <w:r w:rsidRPr="003C09D9">
        <w:rPr>
          <w:sz w:val="24"/>
          <w:szCs w:val="24"/>
        </w:rPr>
        <w:t xml:space="preserve">la somma degli importi scontati </w:t>
      </w:r>
      <w:r>
        <w:rPr>
          <w:sz w:val="24"/>
          <w:szCs w:val="24"/>
        </w:rPr>
        <w:t>per tipologia di utenza deve coincidere con l’importo totale riportato al precedente punto 3</w:t>
      </w:r>
      <w:r w:rsidRPr="003C09D9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99BA5BE" w14:textId="77777777" w:rsidR="00F91254" w:rsidRPr="00896507" w:rsidRDefault="00F91254" w:rsidP="00F91254">
      <w:pPr>
        <w:pStyle w:val="Paragrafoelenco"/>
        <w:numPr>
          <w:ilvl w:val="0"/>
          <w:numId w:val="2"/>
        </w:numPr>
        <w:tabs>
          <w:tab w:val="left" w:pos="0"/>
        </w:tabs>
        <w:spacing w:before="120" w:after="100" w:afterAutospacing="1"/>
        <w:ind w:left="426" w:right="57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 numero di invio definitivo </w:t>
      </w:r>
      <w:r w:rsidRPr="00896507">
        <w:rPr>
          <w:sz w:val="24"/>
          <w:szCs w:val="24"/>
        </w:rPr>
        <w:t>degli atti, dei dati e della documentazione trasmessi all’Autorità ai sensi dei commi 6.2 e 6.3 della deliberazione 443/2019/R/</w:t>
      </w:r>
      <w:proofErr w:type="spellStart"/>
      <w:r>
        <w:rPr>
          <w:sz w:val="24"/>
          <w:szCs w:val="24"/>
        </w:rPr>
        <w:t>rif</w:t>
      </w:r>
      <w:proofErr w:type="spellEnd"/>
      <w:r w:rsidRPr="00896507">
        <w:rPr>
          <w:sz w:val="24"/>
          <w:szCs w:val="24"/>
        </w:rPr>
        <w:t xml:space="preserve"> per l’anno 2020</w:t>
      </w:r>
      <w:r>
        <w:rPr>
          <w:sz w:val="24"/>
          <w:szCs w:val="24"/>
        </w:rPr>
        <w:t xml:space="preserve"> (numero progressivo,</w:t>
      </w:r>
      <w:r w:rsidRPr="00896507">
        <w:rPr>
          <w:sz w:val="24"/>
          <w:szCs w:val="24"/>
        </w:rPr>
        <w:t xml:space="preserve"> es. 2020-XXXXX o 2021-XXXXX</w:t>
      </w:r>
      <w:r>
        <w:rPr>
          <w:sz w:val="24"/>
          <w:szCs w:val="24"/>
        </w:rPr>
        <w:t>,</w:t>
      </w:r>
      <w:r w:rsidRPr="00896507">
        <w:rPr>
          <w:sz w:val="24"/>
          <w:szCs w:val="24"/>
        </w:rPr>
        <w:t xml:space="preserve"> riportato nella ricevuta di invio definitivo della documentazione </w:t>
      </w:r>
      <w:r>
        <w:rPr>
          <w:sz w:val="24"/>
          <w:szCs w:val="24"/>
        </w:rPr>
        <w:t>all’Autorità)</w:t>
      </w:r>
      <w:r w:rsidRPr="00896507">
        <w:rPr>
          <w:sz w:val="24"/>
          <w:szCs w:val="24"/>
        </w:rPr>
        <w:t>.</w:t>
      </w:r>
    </w:p>
    <w:p w14:paraId="433245BC" w14:textId="77777777" w:rsidR="00F91254" w:rsidRDefault="00F91254" w:rsidP="00F91254">
      <w:pPr>
        <w:tabs>
          <w:tab w:val="left" w:pos="5679"/>
        </w:tabs>
        <w:spacing w:after="240" w:line="240" w:lineRule="auto"/>
        <w:jc w:val="both"/>
        <w:rPr>
          <w:sz w:val="24"/>
          <w:szCs w:val="24"/>
        </w:rPr>
      </w:pPr>
      <w:r w:rsidRPr="00495A90">
        <w:rPr>
          <w:sz w:val="24"/>
          <w:szCs w:val="24"/>
        </w:rPr>
        <w:t xml:space="preserve">Dopo aver salvato le informazioni inserite, occorrerà obbligatoriamente proseguire con il </w:t>
      </w:r>
      <w:r w:rsidRPr="00495A90">
        <w:rPr>
          <w:i/>
          <w:iCs/>
          <w:sz w:val="24"/>
          <w:szCs w:val="24"/>
        </w:rPr>
        <w:t>download</w:t>
      </w:r>
      <w:r w:rsidRPr="00495A90">
        <w:rPr>
          <w:sz w:val="24"/>
          <w:szCs w:val="24"/>
        </w:rPr>
        <w:t xml:space="preserve"> della dichiarazione e infine l’</w:t>
      </w:r>
      <w:r w:rsidRPr="00495A90">
        <w:rPr>
          <w:i/>
          <w:iCs/>
          <w:sz w:val="24"/>
          <w:szCs w:val="24"/>
        </w:rPr>
        <w:t>upload</w:t>
      </w:r>
      <w:r w:rsidRPr="00495A90">
        <w:rPr>
          <w:sz w:val="24"/>
          <w:szCs w:val="24"/>
        </w:rPr>
        <w:t xml:space="preserve"> del file firmato digitalmente dal rappresentante legale.</w:t>
      </w:r>
    </w:p>
    <w:p w14:paraId="7AAA23B8" w14:textId="77777777" w:rsidR="00F91254" w:rsidRPr="00495A90" w:rsidRDefault="00F91254" w:rsidP="00F91254">
      <w:pPr>
        <w:tabs>
          <w:tab w:val="left" w:pos="5679"/>
        </w:tabs>
        <w:spacing w:after="240" w:line="240" w:lineRule="auto"/>
        <w:jc w:val="both"/>
        <w:rPr>
          <w:sz w:val="24"/>
          <w:szCs w:val="24"/>
        </w:rPr>
      </w:pPr>
    </w:p>
    <w:p w14:paraId="6C2955A8" w14:textId="77777777" w:rsidR="00F91254" w:rsidRDefault="00F91254"/>
    <w:sectPr w:rsidR="00F912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3A64" w14:textId="77777777" w:rsidR="009447C8" w:rsidRDefault="009447C8" w:rsidP="00F91254">
      <w:pPr>
        <w:spacing w:after="0" w:line="240" w:lineRule="auto"/>
      </w:pPr>
      <w:r>
        <w:separator/>
      </w:r>
    </w:p>
  </w:endnote>
  <w:endnote w:type="continuationSeparator" w:id="0">
    <w:p w14:paraId="3B29D8F2" w14:textId="77777777" w:rsidR="009447C8" w:rsidRDefault="009447C8" w:rsidP="00F9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E65B" w14:textId="77777777" w:rsidR="009447C8" w:rsidRDefault="009447C8" w:rsidP="00F91254">
      <w:pPr>
        <w:spacing w:after="0" w:line="240" w:lineRule="auto"/>
      </w:pPr>
      <w:r>
        <w:separator/>
      </w:r>
    </w:p>
  </w:footnote>
  <w:footnote w:type="continuationSeparator" w:id="0">
    <w:p w14:paraId="6B765901" w14:textId="77777777" w:rsidR="009447C8" w:rsidRDefault="009447C8" w:rsidP="00F91254">
      <w:pPr>
        <w:spacing w:after="0" w:line="240" w:lineRule="auto"/>
      </w:pPr>
      <w:r>
        <w:continuationSeparator/>
      </w:r>
    </w:p>
  </w:footnote>
  <w:footnote w:id="1">
    <w:p w14:paraId="0850F0C6" w14:textId="77777777" w:rsidR="00F91254" w:rsidRDefault="00F91254" w:rsidP="00F91254">
      <w:pPr>
        <w:pStyle w:val="Testonotaapidipagina"/>
      </w:pPr>
      <w:r>
        <w:rPr>
          <w:rStyle w:val="Rimandonotaapidipagina"/>
        </w:rPr>
        <w:footnoteRef/>
      </w:r>
      <w:r>
        <w:t xml:space="preserve"> L’ambito tariffario corrisponde al territorio sul quale si applica la stessa TARI o la stessa tariffa corrispettiva.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1178A"/>
    <w:multiLevelType w:val="hybridMultilevel"/>
    <w:tmpl w:val="8CD8A8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73544"/>
    <w:multiLevelType w:val="hybridMultilevel"/>
    <w:tmpl w:val="6D8AC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185877">
    <w:abstractNumId w:val="0"/>
  </w:num>
  <w:num w:numId="2" w16cid:durableId="1791628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54"/>
    <w:rsid w:val="00226EE1"/>
    <w:rsid w:val="009447C8"/>
    <w:rsid w:val="00F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A699"/>
  <w15:chartTrackingRefBased/>
  <w15:docId w15:val="{4CFC7470-AFDD-42B6-AE61-3E6F3539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125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125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125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12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125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12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era.it/it/comunicati/20/20070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VIOLANTE Salvatore CSEA</dc:creator>
  <cp:keywords/>
  <dc:description/>
  <cp:lastModifiedBy>Barbara Molinari</cp:lastModifiedBy>
  <cp:revision>2</cp:revision>
  <dcterms:created xsi:type="dcterms:W3CDTF">2023-01-24T10:49:00Z</dcterms:created>
  <dcterms:modified xsi:type="dcterms:W3CDTF">2023-01-24T10:49:00Z</dcterms:modified>
</cp:coreProperties>
</file>