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69" w:rsidRDefault="008B5869" w:rsidP="00F336CC">
      <w:pPr>
        <w:spacing w:after="0"/>
        <w:rPr>
          <w:rFonts w:cstheme="minorHAnsi"/>
          <w:color w:val="000000" w:themeColor="text1"/>
        </w:rPr>
      </w:pPr>
      <w:bookmarkStart w:id="0" w:name="_GoBack"/>
      <w:bookmarkEnd w:id="0"/>
    </w:p>
    <w:p w:rsidR="00F336CC" w:rsidRDefault="00F336CC" w:rsidP="00F336CC">
      <w:pPr>
        <w:spacing w:after="0"/>
        <w:rPr>
          <w:rFonts w:cstheme="minorHAnsi"/>
          <w:color w:val="000000" w:themeColor="text1"/>
        </w:rPr>
      </w:pP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A05C00" w:rsidP="00A4405E">
      <w:pPr>
        <w:spacing w:after="0"/>
        <w:ind w:left="6372"/>
        <w:rPr>
          <w:rFonts w:cstheme="minorHAnsi"/>
          <w:color w:val="000000" w:themeColor="text1"/>
        </w:rPr>
      </w:pPr>
      <w:r w:rsidRPr="00A05C00">
        <w:rPr>
          <w:rFonts w:cstheme="minorHAnsi"/>
          <w:color w:val="000000" w:themeColor="text1"/>
        </w:rPr>
        <w:t>Cassa per i servizi energetici e ambientali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41178" w:rsidRDefault="00F41178" w:rsidP="00A4405E">
      <w:pPr>
        <w:spacing w:after="0"/>
        <w:ind w:left="6372"/>
        <w:rPr>
          <w:rFonts w:cstheme="minorHAnsi"/>
          <w:color w:val="000000" w:themeColor="text1"/>
        </w:rPr>
      </w:pPr>
    </w:p>
    <w:p w:rsidR="00F41178" w:rsidRPr="00F16330" w:rsidRDefault="00F41178" w:rsidP="00A4405E">
      <w:pPr>
        <w:spacing w:after="0"/>
        <w:ind w:left="6372"/>
        <w:rPr>
          <w:rFonts w:cstheme="minorHAnsi"/>
          <w:color w:val="000000" w:themeColor="text1"/>
        </w:rPr>
      </w:pPr>
    </w:p>
    <w:p w:rsidR="00FE511D" w:rsidRPr="00F16330" w:rsidRDefault="00FE511D" w:rsidP="00C65931">
      <w:pPr>
        <w:spacing w:after="120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9653D3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6D92" w:rsidRDefault="00D66D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:rsidR="00D66D92" w:rsidRDefault="00D66D92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A05C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A05C00">
              <w:rPr>
                <w:b/>
              </w:rPr>
              <w:t>per prelievi fraudolenti</w:t>
            </w:r>
            <w:r w:rsidRPr="00831EF8">
              <w:rPr>
                <w:b/>
              </w:rPr>
              <w:t xml:space="preserve"> – </w:t>
            </w:r>
            <w:r w:rsidR="00BF7A0F" w:rsidRPr="00BF7A0F">
              <w:rPr>
                <w:b/>
              </w:rPr>
              <w:t>Art. 16bis del TIV</w:t>
            </w:r>
            <w:r>
              <w:rPr>
                <w:b/>
              </w:rPr>
              <w:t xml:space="preserve"> </w:t>
            </w:r>
            <w:r w:rsidR="005B25CD">
              <w:rPr>
                <w:b/>
              </w:rPr>
              <w:t>così come modificato dalla delibera 119/2019/R/EEL</w:t>
            </w:r>
            <w:r w:rsidR="00E13074">
              <w:t xml:space="preserve"> </w:t>
            </w:r>
            <w:r w:rsidR="00E13074" w:rsidRPr="00E13074">
              <w:rPr>
                <w:b/>
              </w:rPr>
              <w:t>per le istanze di ammissione al meccanismo presentate nell’anno 2019</w:t>
            </w:r>
          </w:p>
        </w:tc>
      </w:tr>
    </w:tbl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F67DEB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0F1449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3A4006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al meccanismo di compensazione della morosità </w:t>
      </w:r>
      <w:r w:rsidR="00C65931">
        <w:rPr>
          <w:rFonts w:cstheme="minorHAnsi"/>
          <w:color w:val="000000" w:themeColor="text1"/>
        </w:rPr>
        <w:t xml:space="preserve">per prelievi fraudolenti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="00AC3276">
        <w:rPr>
          <w:rFonts w:cstheme="minorHAnsi"/>
          <w:color w:val="000000" w:themeColor="text1"/>
        </w:rPr>
        <w:t>rt. 16</w:t>
      </w:r>
      <w:r w:rsidR="00F8526E">
        <w:rPr>
          <w:rFonts w:cstheme="minorHAnsi"/>
          <w:color w:val="000000" w:themeColor="text1"/>
        </w:rPr>
        <w:t>bis</w:t>
      </w:r>
      <w:r w:rsidRPr="00F16330">
        <w:rPr>
          <w:rFonts w:cstheme="minorHAnsi"/>
          <w:color w:val="000000" w:themeColor="text1"/>
        </w:rPr>
        <w:t xml:space="preserve"> del TIV</w:t>
      </w:r>
      <w:r w:rsidR="005B25CD">
        <w:rPr>
          <w:rFonts w:cstheme="minorHAnsi"/>
          <w:color w:val="000000" w:themeColor="text1"/>
        </w:rPr>
        <w:t xml:space="preserve"> così come modificato dalla delibera 119/2019/R/EEL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C65931">
      <w:pPr>
        <w:spacing w:before="60" w:after="60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F8526E" w:rsidRPr="00F8526E" w:rsidRDefault="00F8526E" w:rsidP="00F8526E">
      <w:pPr>
        <w:pStyle w:val="Paragrafoelenco"/>
        <w:numPr>
          <w:ilvl w:val="0"/>
          <w:numId w:val="8"/>
        </w:numPr>
        <w:spacing w:after="120"/>
        <w:ind w:left="709" w:hanging="357"/>
        <w:contextualSpacing w:val="0"/>
        <w:jc w:val="both"/>
        <w:rPr>
          <w:rFonts w:cstheme="minorHAnsi"/>
          <w:color w:val="000000" w:themeColor="text1"/>
        </w:rPr>
      </w:pPr>
      <w:r w:rsidRPr="00F8526E">
        <w:rPr>
          <w:rFonts w:cstheme="minorHAnsi"/>
          <w:color w:val="000000" w:themeColor="text1"/>
        </w:rPr>
        <w:t xml:space="preserve">di avere fatturato nel periodo compreso tra il 1° </w:t>
      </w:r>
      <w:r w:rsidR="003A58EF">
        <w:rPr>
          <w:rFonts w:cstheme="minorHAnsi"/>
          <w:color w:val="000000" w:themeColor="text1"/>
        </w:rPr>
        <w:t>gennaio</w:t>
      </w:r>
      <w:r w:rsidRPr="00F8526E">
        <w:rPr>
          <w:rFonts w:cstheme="minorHAnsi"/>
          <w:color w:val="000000" w:themeColor="text1"/>
        </w:rPr>
        <w:t xml:space="preserve"> 201</w:t>
      </w:r>
      <w:r w:rsidR="000657CB">
        <w:rPr>
          <w:rFonts w:cstheme="minorHAnsi"/>
          <w:color w:val="000000" w:themeColor="text1"/>
        </w:rPr>
        <w:t>6</w:t>
      </w:r>
      <w:r w:rsidRPr="00F8526E">
        <w:rPr>
          <w:rFonts w:cstheme="minorHAnsi"/>
          <w:color w:val="000000" w:themeColor="text1"/>
        </w:rPr>
        <w:t xml:space="preserve"> e il 31 dicembre 201</w:t>
      </w:r>
      <w:r w:rsidR="000657CB">
        <w:rPr>
          <w:rFonts w:cstheme="minorHAnsi"/>
          <w:color w:val="000000" w:themeColor="text1"/>
        </w:rPr>
        <w:t>6</w:t>
      </w:r>
      <w:r w:rsidRPr="00F8526E">
        <w:rPr>
          <w:rFonts w:cstheme="minorHAnsi"/>
          <w:color w:val="000000" w:themeColor="text1"/>
        </w:rPr>
        <w:t>, importi relativi a prelievi fraudolenti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</w:t>
      </w:r>
      <w:r w:rsidR="003A75F7">
        <w:rPr>
          <w:rFonts w:cstheme="minorHAnsi"/>
          <w:color w:val="000000" w:themeColor="text1"/>
        </w:rPr>
        <w:t>CSEA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D66D92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gli importi</w:t>
      </w:r>
      <w:r w:rsidR="00CE6EC7" w:rsidRPr="00CE6EC7">
        <w:rPr>
          <w:rFonts w:cstheme="minorHAnsi"/>
          <w:color w:val="000000" w:themeColor="text1"/>
        </w:rPr>
        <w:t xml:space="preserve"> fatturat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per prelievi fraudolenti </w:t>
      </w:r>
      <w:r w:rsidR="00CE6EC7" w:rsidRPr="00CE6EC7">
        <w:rPr>
          <w:rFonts w:cstheme="minorHAnsi"/>
          <w:color w:val="000000" w:themeColor="text1"/>
        </w:rPr>
        <w:t>relativ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ai mesi del periodo </w:t>
      </w:r>
      <w:r w:rsidR="008B5869">
        <w:rPr>
          <w:rFonts w:cstheme="minorHAnsi"/>
          <w:color w:val="000000" w:themeColor="text1"/>
        </w:rPr>
        <w:t xml:space="preserve">1° </w:t>
      </w:r>
      <w:r w:rsidR="003A58EF">
        <w:rPr>
          <w:rFonts w:cstheme="minorHAnsi"/>
          <w:color w:val="000000" w:themeColor="text1"/>
        </w:rPr>
        <w:t>gennaio</w:t>
      </w:r>
      <w:r w:rsidR="00CE6EC7" w:rsidRPr="00CE6EC7">
        <w:rPr>
          <w:rFonts w:cstheme="minorHAnsi"/>
          <w:color w:val="000000" w:themeColor="text1"/>
        </w:rPr>
        <w:t xml:space="preserve"> 201</w:t>
      </w:r>
      <w:r w:rsidR="000657CB">
        <w:rPr>
          <w:rFonts w:cstheme="minorHAnsi"/>
          <w:color w:val="000000" w:themeColor="text1"/>
        </w:rPr>
        <w:t>6</w:t>
      </w:r>
      <w:r w:rsidR="00CE6EC7" w:rsidRPr="00CE6EC7">
        <w:rPr>
          <w:rFonts w:cstheme="minorHAnsi"/>
          <w:color w:val="000000" w:themeColor="text1"/>
        </w:rPr>
        <w:t>-</w:t>
      </w:r>
      <w:r w:rsidR="008B5869">
        <w:rPr>
          <w:rFonts w:cstheme="minorHAnsi"/>
          <w:color w:val="000000" w:themeColor="text1"/>
        </w:rPr>
        <w:t xml:space="preserve">31 </w:t>
      </w:r>
      <w:r w:rsidR="00F8526E">
        <w:rPr>
          <w:rFonts w:cstheme="minorHAnsi"/>
          <w:color w:val="000000" w:themeColor="text1"/>
        </w:rPr>
        <w:t>di</w:t>
      </w:r>
      <w:r>
        <w:rPr>
          <w:rFonts w:cstheme="minorHAnsi"/>
          <w:color w:val="000000" w:themeColor="text1"/>
        </w:rPr>
        <w:t>cembre</w:t>
      </w:r>
      <w:r w:rsidR="00CE6EC7" w:rsidRPr="00CE6EC7">
        <w:rPr>
          <w:rFonts w:cstheme="minorHAnsi"/>
          <w:color w:val="000000" w:themeColor="text1"/>
        </w:rPr>
        <w:t xml:space="preserve"> 201</w:t>
      </w:r>
      <w:r w:rsidR="000657CB">
        <w:rPr>
          <w:rFonts w:cstheme="minorHAnsi"/>
          <w:color w:val="000000" w:themeColor="text1"/>
        </w:rPr>
        <w:t>6</w:t>
      </w:r>
      <w:r w:rsidR="00F37C37">
        <w:rPr>
          <w:rFonts w:cstheme="minorHAnsi"/>
          <w:color w:val="000000" w:themeColor="text1"/>
        </w:rPr>
        <w:t xml:space="preserve"> suddivisi in base al ritardo dell’emissione della fattura rispetto</w:t>
      </w:r>
      <w:r w:rsidR="00711E3B">
        <w:rPr>
          <w:rFonts w:cstheme="minorHAnsi"/>
          <w:color w:val="000000" w:themeColor="text1"/>
        </w:rPr>
        <w:t xml:space="preserve"> alla ricezione del dato di misura della ricostruzione effettuata dal distributore al fine di ottemperare all’art. 16bis.9 introdotto dalla delibera 119/2019/E/EEL</w:t>
      </w:r>
      <w:r>
        <w:rPr>
          <w:rFonts w:cstheme="minorHAnsi"/>
          <w:color w:val="000000" w:themeColor="text1"/>
        </w:rPr>
        <w:t>;</w:t>
      </w:r>
    </w:p>
    <w:p w:rsidR="00332421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 xml:space="preserve">l’ammontare incassato </w:t>
      </w:r>
      <w:r w:rsidR="00CE6EC7">
        <w:t>relativo al fatturato di cui al precedente punto 1) rilevato a distanza di 24 mesi</w:t>
      </w:r>
      <w:r>
        <w:t>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>gli importi eventualmente recuperati relativi a fatturati riferiti ad anni per i quali la compensazione in oggetto ha già avuto luogo;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12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gli elementi identificativi </w:t>
      </w:r>
      <w:r w:rsidR="008B5869">
        <w:rPr>
          <w:rFonts w:cstheme="minorHAnsi"/>
          <w:color w:val="000000" w:themeColor="text1"/>
        </w:rPr>
        <w:t xml:space="preserve">dei punti di prelievo </w:t>
      </w:r>
      <w:r>
        <w:rPr>
          <w:rFonts w:cstheme="minorHAnsi"/>
          <w:color w:val="000000" w:themeColor="text1"/>
        </w:rPr>
        <w:t xml:space="preserve">di cui alla lettera </w:t>
      </w:r>
      <w:r w:rsidR="000657CB">
        <w:rPr>
          <w:rFonts w:cstheme="minorHAnsi"/>
          <w:color w:val="000000" w:themeColor="text1"/>
        </w:rPr>
        <w:t xml:space="preserve">a), </w:t>
      </w:r>
      <w:r w:rsidR="008B5869">
        <w:rPr>
          <w:rFonts w:cstheme="minorHAnsi"/>
          <w:color w:val="000000" w:themeColor="text1"/>
        </w:rPr>
        <w:t>l’energia elettrica fatturata</w:t>
      </w:r>
      <w:r w:rsidR="000657CB">
        <w:rPr>
          <w:rFonts w:cstheme="minorHAnsi"/>
          <w:color w:val="000000" w:themeColor="text1"/>
        </w:rPr>
        <w:t xml:space="preserve"> e il periodo di riferimento della medesima</w:t>
      </w:r>
      <w:r w:rsidR="008B5869">
        <w:rPr>
          <w:rFonts w:cstheme="minorHAnsi"/>
          <w:color w:val="000000" w:themeColor="text1"/>
        </w:rPr>
        <w:t xml:space="preserve"> di cui alla lettera </w:t>
      </w:r>
      <w:r w:rsidR="00EA2C18">
        <w:rPr>
          <w:rFonts w:cstheme="minorHAnsi"/>
          <w:color w:val="000000" w:themeColor="text1"/>
        </w:rPr>
        <w:t>b)</w:t>
      </w:r>
      <w:r w:rsidR="000657CB">
        <w:rPr>
          <w:rFonts w:cstheme="minorHAnsi"/>
          <w:color w:val="000000" w:themeColor="text1"/>
        </w:rPr>
        <w:t>, la data di messa a disposizione dei dati di misura relativi alla ricostruzione effettuata dall’impresa distributrice del prelievo fraudolento e la data di emissione della conseguente fattura di cui alla lettera c)</w:t>
      </w:r>
      <w:r w:rsidR="00EA2C18">
        <w:rPr>
          <w:rFonts w:cstheme="minorHAnsi"/>
          <w:color w:val="000000" w:themeColor="text1"/>
        </w:rPr>
        <w:t xml:space="preserve"> </w:t>
      </w:r>
      <w:r w:rsidR="008B5869">
        <w:rPr>
          <w:rFonts w:cstheme="minorHAnsi"/>
          <w:color w:val="000000" w:themeColor="text1"/>
        </w:rPr>
        <w:t>dell’</w:t>
      </w:r>
      <w:r>
        <w:rPr>
          <w:rFonts w:cstheme="minorHAnsi"/>
          <w:color w:val="000000" w:themeColor="text1"/>
        </w:rPr>
        <w:t>art.</w:t>
      </w:r>
      <w:r w:rsidR="00EA2C18">
        <w:rPr>
          <w:rFonts w:cstheme="minorHAnsi"/>
          <w:color w:val="000000" w:themeColor="text1"/>
        </w:rPr>
        <w:t xml:space="preserve"> 16bis.3 del TIV</w:t>
      </w:r>
    </w:p>
    <w:p w:rsidR="00FA3878" w:rsidRPr="00F16330" w:rsidRDefault="009A70E5" w:rsidP="00FD6E7E">
      <w:pPr>
        <w:pStyle w:val="Paragrafoelenco"/>
        <w:numPr>
          <w:ilvl w:val="0"/>
          <w:numId w:val="8"/>
        </w:numPr>
        <w:jc w:val="both"/>
      </w:pPr>
      <w:r>
        <w:t>di aver posto in essere le azioni di seguito descritte ai fini del recupero degli importi non incassati, come definito</w:t>
      </w:r>
      <w:r w:rsidR="00CE6EC7">
        <w:t xml:space="preserve"> all’art 16</w:t>
      </w:r>
      <w:r w:rsidR="00C65931">
        <w:t>bis</w:t>
      </w:r>
      <w:r w:rsidR="00CE6EC7">
        <w:t>.</w:t>
      </w:r>
      <w:r w:rsidR="00C65931">
        <w:t>2</w:t>
      </w:r>
      <w:r w:rsidR="00CE6EC7">
        <w:t xml:space="preserve"> del TIV </w:t>
      </w:r>
      <w:r w:rsidR="00A4405E"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CD0EAE" w:rsidRDefault="00CD0EAE" w:rsidP="00CD0EAE">
      <w:pPr>
        <w:spacing w:after="0"/>
        <w:jc w:val="both"/>
        <w:rPr>
          <w:rFonts w:cstheme="minorHAnsi"/>
          <w:color w:val="000000" w:themeColor="text1"/>
        </w:rPr>
      </w:pPr>
      <w:r w:rsidRPr="005120D0">
        <w:rPr>
          <w:rFonts w:cstheme="minorHAnsi"/>
          <w:color w:val="000000" w:themeColor="text1"/>
        </w:rPr>
        <w:t xml:space="preserve">Ai fini dei meccanismi di compensazione della morosità del TIV (clienti finali e prelievi fraudolenti) sono </w:t>
      </w:r>
      <w:r>
        <w:rPr>
          <w:rFonts w:cstheme="minorHAnsi"/>
          <w:color w:val="000000" w:themeColor="text1"/>
        </w:rPr>
        <w:t>da escludere</w:t>
      </w:r>
      <w:r w:rsidRPr="005120D0">
        <w:rPr>
          <w:rFonts w:cstheme="minorHAnsi"/>
          <w:color w:val="000000" w:themeColor="text1"/>
        </w:rPr>
        <w:t xml:space="preserve"> i punti di prelievo siti nei comuni danneggiati dagli eventi sismici del 20 maggio 2012, qualora i relativi oneri per morosità </w:t>
      </w:r>
      <w:r w:rsidR="00F336CC">
        <w:rPr>
          <w:rFonts w:cstheme="minorHAnsi"/>
          <w:color w:val="000000" w:themeColor="text1"/>
        </w:rPr>
        <w:t>siano</w:t>
      </w:r>
      <w:r w:rsidRPr="005120D0">
        <w:rPr>
          <w:rFonts w:cstheme="minorHAnsi"/>
          <w:color w:val="000000" w:themeColor="text1"/>
        </w:rPr>
        <w:t xml:space="preserve"> oggetto di istanza di partecipazione al meccanismo definito dalla deliberazione</w:t>
      </w:r>
      <w:r>
        <w:rPr>
          <w:rFonts w:cstheme="minorHAnsi"/>
          <w:color w:val="000000" w:themeColor="text1"/>
        </w:rPr>
        <w:t xml:space="preserve"> </w:t>
      </w:r>
      <w:r w:rsidRPr="005120D0">
        <w:rPr>
          <w:rFonts w:cstheme="minorHAnsi"/>
          <w:color w:val="000000" w:themeColor="text1"/>
        </w:rPr>
        <w:t>627/2015/R/</w:t>
      </w:r>
      <w:proofErr w:type="spellStart"/>
      <w:r w:rsidRPr="005120D0">
        <w:rPr>
          <w:rFonts w:cstheme="minorHAnsi"/>
          <w:color w:val="000000" w:themeColor="text1"/>
        </w:rPr>
        <w:t>com</w:t>
      </w:r>
      <w:proofErr w:type="spellEnd"/>
      <w:r w:rsidRPr="005120D0">
        <w:rPr>
          <w:rFonts w:cstheme="minorHAnsi"/>
          <w:color w:val="000000" w:themeColor="text1"/>
        </w:rPr>
        <w:t>.</w:t>
      </w:r>
    </w:p>
    <w:p w:rsidR="00FE511D" w:rsidRDefault="00165750" w:rsidP="00C65931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</w:t>
      </w:r>
      <w:r w:rsidR="00D66D92">
        <w:rPr>
          <w:rFonts w:cstheme="minorHAnsi"/>
          <w:color w:val="000000" w:themeColor="text1"/>
        </w:rPr>
        <w:t>ichiarazioni di cui ai punti A,</w:t>
      </w:r>
      <w:r>
        <w:rPr>
          <w:rFonts w:cstheme="minorHAnsi"/>
          <w:color w:val="000000" w:themeColor="text1"/>
        </w:rPr>
        <w:t xml:space="preserve"> B</w:t>
      </w:r>
      <w:r w:rsidR="00D66D92">
        <w:rPr>
          <w:rFonts w:cstheme="minorHAnsi"/>
          <w:color w:val="000000" w:themeColor="text1"/>
        </w:rPr>
        <w:t xml:space="preserve"> e C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 xml:space="preserve">consapevole delle sanzioni </w:t>
      </w:r>
      <w:r w:rsidRPr="00F16330">
        <w:rPr>
          <w:rFonts w:cstheme="minorHAnsi"/>
          <w:color w:val="000000" w:themeColor="text1"/>
        </w:rPr>
        <w:lastRenderedPageBreak/>
        <w:t>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445AC4" w:rsidRDefault="00D9507D">
      <w:pPr>
        <w:spacing w:after="12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</w:t>
      </w:r>
      <w:r w:rsidR="00433ACC">
        <w:rPr>
          <w:rFonts w:cstheme="minorHAnsi"/>
          <w:color w:val="000000" w:themeColor="text1"/>
        </w:rPr>
        <w:t>, in corso di validità,</w:t>
      </w:r>
    </w:p>
    <w:p w:rsid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</w:t>
      </w:r>
      <w:r w:rsidR="008B5869">
        <w:rPr>
          <w:rFonts w:cstheme="minorHAnsi"/>
          <w:color w:val="000000" w:themeColor="text1"/>
        </w:rPr>
        <w:t>, del soggetto che sottoscrive</w:t>
      </w:r>
      <w:r w:rsidRPr="00831EF8">
        <w:rPr>
          <w:rFonts w:cstheme="minorHAnsi"/>
          <w:color w:val="000000" w:themeColor="text1"/>
        </w:rPr>
        <w:t>.</w:t>
      </w:r>
      <w:r w:rsidR="008B5869">
        <w:rPr>
          <w:rFonts w:cstheme="minorHAnsi"/>
          <w:color w:val="000000" w:themeColor="text1"/>
        </w:rPr>
        <w:t xml:space="preserve"> In caso di rappresentante negoziale, si veda la documentazione richiesta in nota 1.</w:t>
      </w:r>
    </w:p>
    <w:p w:rsidR="008B5869" w:rsidRPr="00831EF8" w:rsidRDefault="008B5869" w:rsidP="009929A7">
      <w:pPr>
        <w:spacing w:after="0"/>
        <w:jc w:val="both"/>
        <w:rPr>
          <w:rFonts w:cstheme="minorHAnsi"/>
          <w:color w:val="000000" w:themeColor="text1"/>
        </w:rPr>
      </w:pPr>
    </w:p>
    <w:p w:rsid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384FA1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384FA1" w:rsidRPr="00831EF8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84FA1" w:rsidRDefault="00384FA1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384FA1" w:rsidRDefault="00384FA1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384FA1" w:rsidRDefault="00384FA1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384FA1" w:rsidRDefault="00384FA1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246DBA" w:rsidRPr="00C063A3" w:rsidRDefault="00246DBA" w:rsidP="00246DBA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  <w:r w:rsidRPr="00C063A3">
        <w:rPr>
          <w:rFonts w:cstheme="minorHAnsi"/>
          <w:b/>
          <w:i/>
          <w:color w:val="000000" w:themeColor="text1"/>
          <w:u w:val="single"/>
        </w:rPr>
        <w:t xml:space="preserve">Ulteriore </w:t>
      </w:r>
      <w:r>
        <w:rPr>
          <w:rFonts w:cstheme="minorHAnsi"/>
          <w:b/>
          <w:i/>
          <w:color w:val="000000" w:themeColor="text1"/>
          <w:u w:val="single"/>
        </w:rPr>
        <w:t>documento da allegare</w:t>
      </w:r>
      <w:r w:rsidRPr="00C063A3">
        <w:rPr>
          <w:rFonts w:cstheme="minorHAnsi"/>
          <w:b/>
          <w:i/>
          <w:color w:val="000000" w:themeColor="text1"/>
          <w:u w:val="single"/>
        </w:rPr>
        <w:t xml:space="preserve"> all’istanza.</w:t>
      </w:r>
    </w:p>
    <w:p w:rsidR="00246DBA" w:rsidRPr="0021120B" w:rsidRDefault="00246DBA" w:rsidP="00246DBA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color w:val="000000" w:themeColor="text1"/>
        </w:rPr>
        <w:t>Relazione della società di revisione legale che esprima un giudizio di conformità degli importi dichiarati rispetto ai valori esposti nella situazione contabile della società. Tale giudizio è espresso sulla base dei principi di revisione contabile utilizzati in sede di redazione del bilancio di esercizio.</w:t>
      </w:r>
    </w:p>
    <w:p w:rsidR="00246DBA" w:rsidRDefault="00246DBA" w:rsidP="00246DBA">
      <w:pPr>
        <w:spacing w:after="0"/>
        <w:jc w:val="both"/>
        <w:rPr>
          <w:rFonts w:cstheme="minorHAnsi"/>
          <w:color w:val="000000" w:themeColor="text1"/>
        </w:rPr>
      </w:pPr>
    </w:p>
    <w:p w:rsidR="00246DBA" w:rsidRPr="00FD37E7" w:rsidRDefault="00246DBA" w:rsidP="00246DBA">
      <w:pPr>
        <w:spacing w:after="0"/>
        <w:jc w:val="both"/>
        <w:rPr>
          <w:rFonts w:cstheme="minorHAnsi"/>
          <w:b/>
          <w:i/>
          <w:color w:val="000000" w:themeColor="text1"/>
          <w:u w:val="single"/>
        </w:rPr>
      </w:pPr>
      <w:r w:rsidRPr="00FD37E7">
        <w:rPr>
          <w:rFonts w:cstheme="minorHAnsi"/>
          <w:b/>
          <w:i/>
          <w:color w:val="000000" w:themeColor="text1"/>
          <w:u w:val="single"/>
        </w:rPr>
        <w:t>In alternativa</w:t>
      </w:r>
    </w:p>
    <w:p w:rsidR="00246DBA" w:rsidRDefault="00246DBA" w:rsidP="00246DBA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b/>
          <w:color w:val="000000" w:themeColor="text1"/>
        </w:rPr>
        <w:t>Solo nel caso in cui il bilancio di esercizio dell’esercente non sia sottoposto a revisione legale, firmare la seguente dichiarazione</w:t>
      </w:r>
      <w:r>
        <w:rPr>
          <w:rFonts w:cstheme="minorHAnsi"/>
          <w:b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ai sensi degli artt. 46 e 47 del D.P.R. 28/12/2000, n.445:</w:t>
      </w:r>
    </w:p>
    <w:p w:rsidR="00246DBA" w:rsidRPr="00C063A3" w:rsidRDefault="00246DBA" w:rsidP="00246DBA">
      <w:pPr>
        <w:spacing w:after="0"/>
        <w:jc w:val="both"/>
        <w:rPr>
          <w:rFonts w:cstheme="minorHAnsi"/>
          <w:b/>
          <w:color w:val="000000" w:themeColor="text1"/>
        </w:rPr>
      </w:pPr>
    </w:p>
    <w:p w:rsidR="00246DBA" w:rsidRPr="0021120B" w:rsidRDefault="00246DBA" w:rsidP="00246DBA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3A4006">
        <w:rPr>
          <w:rFonts w:cstheme="minorHAnsi"/>
          <w:color w:val="000000" w:themeColor="text1"/>
        </w:rPr>
        <w:t xml:space="preserve">Si attesta la veridicità </w:t>
      </w:r>
      <w:r>
        <w:rPr>
          <w:rFonts w:cstheme="minorHAnsi"/>
          <w:color w:val="000000" w:themeColor="text1"/>
        </w:rPr>
        <w:t xml:space="preserve">delle dichiarazioni di cui alla presente istanza </w:t>
      </w:r>
      <w:r w:rsidRPr="003A4006">
        <w:rPr>
          <w:rFonts w:cstheme="minorHAnsi"/>
          <w:color w:val="000000" w:themeColor="text1"/>
        </w:rPr>
        <w:t xml:space="preserve">e la correttezza dei valori riportati </w:t>
      </w:r>
      <w:r>
        <w:rPr>
          <w:rFonts w:cstheme="minorHAnsi"/>
          <w:color w:val="000000" w:themeColor="text1"/>
        </w:rPr>
        <w:t xml:space="preserve">nell’apposito modello </w:t>
      </w:r>
      <w:r w:rsidRPr="00FE511D">
        <w:rPr>
          <w:rFonts w:cstheme="minorHAnsi"/>
          <w:color w:val="000000" w:themeColor="text1"/>
        </w:rPr>
        <w:t>predisposto sul Data Entry di Cassa</w:t>
      </w:r>
      <w:r w:rsidRPr="003A4006">
        <w:rPr>
          <w:rFonts w:cstheme="minorHAnsi"/>
          <w:color w:val="000000" w:themeColor="text1"/>
        </w:rPr>
        <w:t>.</w:t>
      </w:r>
    </w:p>
    <w:p w:rsidR="00246DBA" w:rsidRDefault="00246DBA" w:rsidP="00246DBA">
      <w:pPr>
        <w:spacing w:after="0"/>
        <w:jc w:val="both"/>
        <w:rPr>
          <w:rFonts w:cstheme="minorHAnsi"/>
          <w:color w:val="000000" w:themeColor="text1"/>
        </w:rPr>
      </w:pP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1C69C3" w:rsidRDefault="001C69C3" w:rsidP="001C6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</w:p>
    <w:p w:rsidR="001C69C3" w:rsidRPr="00F16330" w:rsidRDefault="00726ECB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726E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Le informazioni contenute nel presente modello saranno trattate dalla CSEA esclusivamente nell’ambito del procedimento per il quale le stesse vengono prodotte, ai sensi del </w:t>
      </w:r>
      <w:r w:rsidR="009B52FA" w:rsidRPr="009B52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Regolamento UE 2016/679 nonché del </w:t>
      </w:r>
      <w:proofErr w:type="spellStart"/>
      <w:r w:rsidR="009B52FA" w:rsidRPr="009B52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D.Lgs.</w:t>
      </w:r>
      <w:proofErr w:type="spellEnd"/>
      <w:r w:rsidR="009B52FA" w:rsidRPr="009B52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n. 196/2003, così come modificato e integrato dal </w:t>
      </w:r>
      <w:proofErr w:type="spellStart"/>
      <w:r w:rsidR="009B52FA" w:rsidRPr="009B52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D.Lgs.</w:t>
      </w:r>
      <w:proofErr w:type="spellEnd"/>
      <w:r w:rsidR="009B52FA" w:rsidRPr="009B52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n. 101/2018.</w:t>
      </w:r>
    </w:p>
    <w:sectPr w:rsidR="001C69C3" w:rsidRPr="00F16330" w:rsidSect="00F67DEB">
      <w:footerReference w:type="default" r:id="rId9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47" w:rsidRDefault="005E3A47" w:rsidP="00944B06">
      <w:pPr>
        <w:spacing w:after="0" w:line="240" w:lineRule="auto"/>
      </w:pPr>
      <w:r>
        <w:separator/>
      </w:r>
    </w:p>
  </w:endnote>
  <w:endnote w:type="continuationSeparator" w:id="0">
    <w:p w:rsidR="005E3A47" w:rsidRDefault="005E3A47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06" w:rsidRDefault="00D9507D" w:rsidP="00A21BBF">
    <w:pPr>
      <w:pStyle w:val="Pidipagina"/>
      <w:jc w:val="right"/>
    </w:pPr>
    <w:r>
      <w:fldChar w:fldCharType="begin"/>
    </w:r>
    <w:r w:rsidR="00A05C00">
      <w:instrText>PAGE   \* MERGEFORMAT</w:instrText>
    </w:r>
    <w:r>
      <w:fldChar w:fldCharType="separate"/>
    </w:r>
    <w:r w:rsidR="00370516">
      <w:rPr>
        <w:noProof/>
      </w:rPr>
      <w:t>3</w:t>
    </w:r>
    <w:r>
      <w:fldChar w:fldCharType="end"/>
    </w:r>
  </w:p>
  <w:p w:rsidR="003A4006" w:rsidRPr="003A4006" w:rsidRDefault="000657CB" w:rsidP="003A4006">
    <w:pPr>
      <w:pStyle w:val="Pidipagina"/>
      <w:rPr>
        <w:sz w:val="16"/>
        <w:szCs w:val="16"/>
      </w:rPr>
    </w:pPr>
    <w:r>
      <w:rPr>
        <w:sz w:val="16"/>
        <w:szCs w:val="16"/>
      </w:rPr>
      <w:t>01-</w:t>
    </w:r>
    <w:r w:rsidR="00B03873">
      <w:rPr>
        <w:sz w:val="16"/>
        <w:szCs w:val="16"/>
      </w:rPr>
      <w:t>21</w:t>
    </w:r>
    <w:r>
      <w:rPr>
        <w:sz w:val="16"/>
        <w:szCs w:val="16"/>
      </w:rPr>
      <w:t>/0</w:t>
    </w:r>
    <w:r w:rsidR="00B03873">
      <w:rPr>
        <w:sz w:val="16"/>
        <w:szCs w:val="16"/>
      </w:rPr>
      <w:t>6</w:t>
    </w:r>
    <w:r>
      <w:rPr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47" w:rsidRDefault="005E3A47" w:rsidP="00944B06">
      <w:pPr>
        <w:spacing w:after="0" w:line="240" w:lineRule="auto"/>
      </w:pPr>
      <w:r>
        <w:separator/>
      </w:r>
    </w:p>
  </w:footnote>
  <w:footnote w:type="continuationSeparator" w:id="0">
    <w:p w:rsidR="005E3A47" w:rsidRDefault="005E3A47" w:rsidP="00944B06">
      <w:pPr>
        <w:spacing w:after="0" w:line="240" w:lineRule="auto"/>
      </w:pPr>
      <w:r>
        <w:continuationSeparator/>
      </w:r>
    </w:p>
  </w:footnote>
  <w:footnote w:id="1">
    <w:p w:rsidR="000F1449" w:rsidRDefault="000F1449">
      <w:pPr>
        <w:pStyle w:val="Testonotaapidipagina"/>
      </w:pPr>
      <w:r w:rsidRPr="00F336CC">
        <w:rPr>
          <w:rStyle w:val="Rimandonotaapidipagina"/>
        </w:rPr>
        <w:footnoteRef/>
      </w:r>
      <w:r w:rsidRPr="00F336CC">
        <w:t xml:space="preserve"> </w:t>
      </w:r>
      <w:r w:rsidR="00D9507D" w:rsidRPr="00F336CC">
        <w:t>In caso di rappresentanza negoziale, allegare la relativa procura accompagnata dal documento d’identità, in corso di validità, del legale rappresentante che ha conferito la procura stessa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657CB"/>
    <w:rsid w:val="00084321"/>
    <w:rsid w:val="00094B81"/>
    <w:rsid w:val="000A138B"/>
    <w:rsid w:val="000C7E63"/>
    <w:rsid w:val="000D6A47"/>
    <w:rsid w:val="000E77E0"/>
    <w:rsid w:val="000F1449"/>
    <w:rsid w:val="001052B2"/>
    <w:rsid w:val="00127F72"/>
    <w:rsid w:val="00135541"/>
    <w:rsid w:val="00144997"/>
    <w:rsid w:val="00165750"/>
    <w:rsid w:val="00173582"/>
    <w:rsid w:val="00196DDC"/>
    <w:rsid w:val="001B0AF0"/>
    <w:rsid w:val="001C69C3"/>
    <w:rsid w:val="001F7F82"/>
    <w:rsid w:val="00206C78"/>
    <w:rsid w:val="002102CE"/>
    <w:rsid w:val="00210943"/>
    <w:rsid w:val="0021120B"/>
    <w:rsid w:val="00222E77"/>
    <w:rsid w:val="00230369"/>
    <w:rsid w:val="00233074"/>
    <w:rsid w:val="00246DBA"/>
    <w:rsid w:val="002473E3"/>
    <w:rsid w:val="00271270"/>
    <w:rsid w:val="00281F9D"/>
    <w:rsid w:val="002A2DDE"/>
    <w:rsid w:val="002C0231"/>
    <w:rsid w:val="002C07CF"/>
    <w:rsid w:val="002D1D46"/>
    <w:rsid w:val="00307DBF"/>
    <w:rsid w:val="00332421"/>
    <w:rsid w:val="00370516"/>
    <w:rsid w:val="00372461"/>
    <w:rsid w:val="00373C36"/>
    <w:rsid w:val="00384FA1"/>
    <w:rsid w:val="003A4006"/>
    <w:rsid w:val="003A58EF"/>
    <w:rsid w:val="003A75F7"/>
    <w:rsid w:val="00416FCE"/>
    <w:rsid w:val="00420924"/>
    <w:rsid w:val="00433ACC"/>
    <w:rsid w:val="0044413D"/>
    <w:rsid w:val="00445AC4"/>
    <w:rsid w:val="00460131"/>
    <w:rsid w:val="00472872"/>
    <w:rsid w:val="00493B8E"/>
    <w:rsid w:val="004B121E"/>
    <w:rsid w:val="004C66FC"/>
    <w:rsid w:val="004D15FF"/>
    <w:rsid w:val="004D18D3"/>
    <w:rsid w:val="004D27A7"/>
    <w:rsid w:val="004E21DF"/>
    <w:rsid w:val="004F66A6"/>
    <w:rsid w:val="00561BC7"/>
    <w:rsid w:val="00567D93"/>
    <w:rsid w:val="005817CD"/>
    <w:rsid w:val="00581A9A"/>
    <w:rsid w:val="00595B96"/>
    <w:rsid w:val="005B25CD"/>
    <w:rsid w:val="005C00C4"/>
    <w:rsid w:val="005E3A47"/>
    <w:rsid w:val="005F401C"/>
    <w:rsid w:val="00601D21"/>
    <w:rsid w:val="006047A7"/>
    <w:rsid w:val="00630EE3"/>
    <w:rsid w:val="00631DF9"/>
    <w:rsid w:val="00636041"/>
    <w:rsid w:val="00637F3C"/>
    <w:rsid w:val="00653BA1"/>
    <w:rsid w:val="006730BB"/>
    <w:rsid w:val="006940EF"/>
    <w:rsid w:val="006C147B"/>
    <w:rsid w:val="006C4A2A"/>
    <w:rsid w:val="00705AC0"/>
    <w:rsid w:val="00711E3B"/>
    <w:rsid w:val="00721413"/>
    <w:rsid w:val="00726ECB"/>
    <w:rsid w:val="007875A4"/>
    <w:rsid w:val="007E5CCF"/>
    <w:rsid w:val="007F4616"/>
    <w:rsid w:val="00805A0E"/>
    <w:rsid w:val="00812D1E"/>
    <w:rsid w:val="00815DC2"/>
    <w:rsid w:val="00831EF8"/>
    <w:rsid w:val="008456EB"/>
    <w:rsid w:val="008538B8"/>
    <w:rsid w:val="0089702B"/>
    <w:rsid w:val="008B5869"/>
    <w:rsid w:val="008D256E"/>
    <w:rsid w:val="008F7605"/>
    <w:rsid w:val="009121CB"/>
    <w:rsid w:val="0092112C"/>
    <w:rsid w:val="00931A3E"/>
    <w:rsid w:val="00932342"/>
    <w:rsid w:val="009353EC"/>
    <w:rsid w:val="00943446"/>
    <w:rsid w:val="00944B06"/>
    <w:rsid w:val="009653D3"/>
    <w:rsid w:val="00972FF8"/>
    <w:rsid w:val="009929A7"/>
    <w:rsid w:val="009A6A40"/>
    <w:rsid w:val="009A70E5"/>
    <w:rsid w:val="009B52FA"/>
    <w:rsid w:val="009B54BA"/>
    <w:rsid w:val="009D302C"/>
    <w:rsid w:val="00A00193"/>
    <w:rsid w:val="00A05C00"/>
    <w:rsid w:val="00A21BBF"/>
    <w:rsid w:val="00A2543D"/>
    <w:rsid w:val="00A375CF"/>
    <w:rsid w:val="00A4405E"/>
    <w:rsid w:val="00A7550C"/>
    <w:rsid w:val="00A865ED"/>
    <w:rsid w:val="00AB38AB"/>
    <w:rsid w:val="00AC3276"/>
    <w:rsid w:val="00B03873"/>
    <w:rsid w:val="00B07C73"/>
    <w:rsid w:val="00B10E9E"/>
    <w:rsid w:val="00B16CE2"/>
    <w:rsid w:val="00B73244"/>
    <w:rsid w:val="00B90000"/>
    <w:rsid w:val="00BC231D"/>
    <w:rsid w:val="00BC4F94"/>
    <w:rsid w:val="00BD21C8"/>
    <w:rsid w:val="00BD2CAE"/>
    <w:rsid w:val="00BD3FE1"/>
    <w:rsid w:val="00BE7D3A"/>
    <w:rsid w:val="00BF7A0F"/>
    <w:rsid w:val="00C12B6D"/>
    <w:rsid w:val="00C473B2"/>
    <w:rsid w:val="00C65931"/>
    <w:rsid w:val="00CD0DED"/>
    <w:rsid w:val="00CD0EAE"/>
    <w:rsid w:val="00CE6EC7"/>
    <w:rsid w:val="00CF001B"/>
    <w:rsid w:val="00D0200E"/>
    <w:rsid w:val="00D66D92"/>
    <w:rsid w:val="00D9507D"/>
    <w:rsid w:val="00E03BC8"/>
    <w:rsid w:val="00E13074"/>
    <w:rsid w:val="00E147C3"/>
    <w:rsid w:val="00E233E8"/>
    <w:rsid w:val="00EA2C1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336CC"/>
    <w:rsid w:val="00F37C37"/>
    <w:rsid w:val="00F41178"/>
    <w:rsid w:val="00F50D39"/>
    <w:rsid w:val="00F5178C"/>
    <w:rsid w:val="00F55DB9"/>
    <w:rsid w:val="00F57A70"/>
    <w:rsid w:val="00F60120"/>
    <w:rsid w:val="00F67DEB"/>
    <w:rsid w:val="00F67F0C"/>
    <w:rsid w:val="00F76BE7"/>
    <w:rsid w:val="00F8526E"/>
    <w:rsid w:val="00F87630"/>
    <w:rsid w:val="00F90DC3"/>
    <w:rsid w:val="00FA12E3"/>
    <w:rsid w:val="00FA3878"/>
    <w:rsid w:val="00FB25BF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F028-103F-4568-B7A2-BA0CB9A3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MOLINARI Barbara CSEA</cp:lastModifiedBy>
  <cp:revision>2</cp:revision>
  <cp:lastPrinted>2015-02-26T13:56:00Z</cp:lastPrinted>
  <dcterms:created xsi:type="dcterms:W3CDTF">2019-06-28T14:14:00Z</dcterms:created>
  <dcterms:modified xsi:type="dcterms:W3CDTF">2019-06-28T14:14:00Z</dcterms:modified>
</cp:coreProperties>
</file>