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063A3">
      <w:pPr>
        <w:spacing w:after="0"/>
        <w:ind w:left="6372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781A7A" w:rsidP="00CE6EC7">
            <w:pPr>
              <w:snapToGrid w:val="0"/>
              <w:jc w:val="center"/>
              <w:rPr>
                <w:b/>
              </w:rPr>
            </w:pPr>
            <w:r w:rsidRPr="00781A7A"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<v:textbox>
                    <w:txbxContent>
                      <w:p w:rsidR="00CE6EC7" w:rsidRDefault="00CE6EC7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C12B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C12B6D">
              <w:rPr>
                <w:b/>
              </w:rPr>
              <w:t>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5A16DE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1C5937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12B6D">
        <w:rPr>
          <w:rFonts w:cstheme="minorHAnsi"/>
          <w:color w:val="000000" w:themeColor="text1"/>
        </w:rPr>
        <w:t>dei clienti finali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>rt. 16</w:t>
      </w:r>
      <w:r w:rsidR="00C12B6D">
        <w:rPr>
          <w:rFonts w:cstheme="minorHAnsi"/>
          <w:color w:val="000000" w:themeColor="text1"/>
        </w:rPr>
        <w:t>ter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5A16DE">
        <w:rPr>
          <w:rFonts w:cstheme="minorHAnsi"/>
          <w:color w:val="000000" w:themeColor="text1"/>
        </w:rPr>
        <w:t>SEA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 w:rsidRPr="00CE6EC7">
        <w:rPr>
          <w:rFonts w:cstheme="minorHAnsi"/>
          <w:color w:val="000000" w:themeColor="text1"/>
        </w:rPr>
        <w:t xml:space="preserve">il fatturato relativo ai mesi del periodo </w:t>
      </w:r>
      <w:r w:rsidR="001C5937">
        <w:rPr>
          <w:rFonts w:cstheme="minorHAnsi"/>
          <w:color w:val="000000" w:themeColor="text1"/>
        </w:rPr>
        <w:t xml:space="preserve">1° </w:t>
      </w:r>
      <w:r w:rsidR="005A16DE">
        <w:rPr>
          <w:rFonts w:cstheme="minorHAnsi"/>
          <w:color w:val="000000" w:themeColor="text1"/>
        </w:rPr>
        <w:t>luglio</w:t>
      </w:r>
      <w:r w:rsidRPr="00CE6EC7">
        <w:rPr>
          <w:rFonts w:cstheme="minorHAnsi"/>
          <w:color w:val="000000" w:themeColor="text1"/>
        </w:rPr>
        <w:t xml:space="preserve"> 201</w:t>
      </w:r>
      <w:r w:rsidR="005A16DE">
        <w:rPr>
          <w:rFonts w:cstheme="minorHAnsi"/>
          <w:color w:val="000000" w:themeColor="text1"/>
        </w:rPr>
        <w:t>3</w:t>
      </w:r>
      <w:r w:rsidRPr="00CE6EC7">
        <w:rPr>
          <w:rFonts w:cstheme="minorHAnsi"/>
          <w:color w:val="000000" w:themeColor="text1"/>
        </w:rPr>
        <w:t>-</w:t>
      </w:r>
      <w:r w:rsidR="001C5937">
        <w:rPr>
          <w:rFonts w:cstheme="minorHAnsi"/>
          <w:color w:val="000000" w:themeColor="text1"/>
        </w:rPr>
        <w:t xml:space="preserve"> 30 </w:t>
      </w:r>
      <w:r w:rsidR="005A16DE">
        <w:rPr>
          <w:rFonts w:cstheme="minorHAnsi"/>
          <w:color w:val="000000" w:themeColor="text1"/>
        </w:rPr>
        <w:t>giugno</w:t>
      </w:r>
      <w:r w:rsidRPr="00CE6EC7">
        <w:rPr>
          <w:rFonts w:cstheme="minorHAnsi"/>
          <w:color w:val="000000" w:themeColor="text1"/>
        </w:rPr>
        <w:t xml:space="preserve"> 201</w:t>
      </w:r>
      <w:r w:rsidR="005A16DE">
        <w:rPr>
          <w:rFonts w:cstheme="minorHAnsi"/>
          <w:color w:val="000000" w:themeColor="text1"/>
        </w:rPr>
        <w:t>4</w:t>
      </w:r>
      <w:r w:rsidRPr="00CE6EC7">
        <w:rPr>
          <w:rFonts w:cstheme="minorHAnsi"/>
          <w:color w:val="000000" w:themeColor="text1"/>
        </w:rPr>
        <w:t>, al netto di eventuali importi fatturati relativi a prelievi fraudolenti dei clienti finali</w:t>
      </w:r>
      <w:r w:rsidR="00B31C3C">
        <w:rPr>
          <w:rFonts w:cstheme="minorHAnsi"/>
          <w:color w:val="000000" w:themeColor="text1"/>
        </w:rPr>
        <w:t>;</w:t>
      </w:r>
    </w:p>
    <w:p w:rsidR="00CE6EC7" w:rsidRPr="00B31C3C" w:rsidRDefault="00CE6EC7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l’incasso relativo al fatturato di cui al precedente punto 1) rilevato a distanza di 24 mesi</w:t>
      </w:r>
      <w:r w:rsidR="00B31C3C">
        <w:t>;</w:t>
      </w:r>
    </w:p>
    <w:p w:rsidR="00B31C3C" w:rsidRPr="00CE6EC7" w:rsidRDefault="00B31C3C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 xml:space="preserve">il numero dei punti di prelievo serviti in ciascun mese dell’anno </w:t>
      </w:r>
      <w:r w:rsidR="007F2E57">
        <w:t>201</w:t>
      </w:r>
      <w:r w:rsidR="005A16DE">
        <w:t>7</w:t>
      </w:r>
      <w:r>
        <w:t>.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A3878" w:rsidRPr="00F16330" w:rsidRDefault="00A4405E" w:rsidP="00FD6E7E">
      <w:pPr>
        <w:pStyle w:val="Paragrafoelenco"/>
        <w:numPr>
          <w:ilvl w:val="0"/>
          <w:numId w:val="8"/>
        </w:numPr>
        <w:jc w:val="both"/>
      </w:pPr>
      <w:r w:rsidRPr="00F16330">
        <w:t xml:space="preserve">di aver posto in essere le azioni </w:t>
      </w:r>
      <w:r w:rsidR="00FA3878" w:rsidRPr="00F16330">
        <w:t xml:space="preserve">di seguito descritte </w:t>
      </w:r>
      <w:r w:rsidRPr="00F16330">
        <w:t>ai fini del recupero degli importi non incassati</w:t>
      </w:r>
      <w:r w:rsidR="00B31C3C">
        <w:t xml:space="preserve">, come definito alla lettera a) </w:t>
      </w:r>
      <w:r w:rsidR="00CE6EC7">
        <w:t>art</w:t>
      </w:r>
      <w:r w:rsidR="005A16DE">
        <w:t>.</w:t>
      </w:r>
      <w:r w:rsidR="00CE6EC7">
        <w:t xml:space="preserve"> 16ter.</w:t>
      </w:r>
      <w:r w:rsidR="00B31C3C">
        <w:t>2</w:t>
      </w:r>
      <w:r w:rsidR="00CE6EC7">
        <w:t xml:space="preserve"> del TIV </w:t>
      </w:r>
      <w:r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156736" w:rsidRDefault="0015673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</w:t>
      </w:r>
      <w:r w:rsidR="00B02E5A">
        <w:rPr>
          <w:rFonts w:cstheme="minorHAnsi"/>
          <w:color w:val="000000" w:themeColor="text1"/>
        </w:rPr>
        <w:t>siano</w:t>
      </w:r>
      <w:r w:rsidR="00B02E5A" w:rsidRPr="005120D0"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627/2015/R/com.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 e B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4E1136" w:rsidRDefault="00A37C5E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A37C5E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165750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C5937" w:rsidRPr="00831EF8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>
        <w:rPr>
          <w:rFonts w:cstheme="minorHAnsi"/>
          <w:color w:val="000000" w:themeColor="text1"/>
        </w:rPr>
        <w:t>, in corso di validità,</w:t>
      </w:r>
    </w:p>
    <w:p w:rsidR="001C5937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>
        <w:rPr>
          <w:rFonts w:cstheme="minorHAnsi"/>
          <w:color w:val="000000" w:themeColor="text1"/>
        </w:rPr>
        <w:t>, del soggetto che sottoscrive</w:t>
      </w:r>
      <w:r w:rsidRPr="00831EF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In caso di rappresentante negoziale, si veda la documentazione richiesta in nota 1.</w:t>
      </w:r>
    </w:p>
    <w:p w:rsidR="001C5937" w:rsidRDefault="001C5937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CD0DED" w:rsidRPr="00C063A3" w:rsidRDefault="00CD0DED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bookmarkStart w:id="0" w:name="_GoBack"/>
      <w:r w:rsidRPr="00C063A3">
        <w:rPr>
          <w:rFonts w:cstheme="minorHAnsi"/>
          <w:b/>
          <w:i/>
          <w:color w:val="000000" w:themeColor="text1"/>
          <w:u w:val="single"/>
        </w:rPr>
        <w:t xml:space="preserve">Ulteriore </w:t>
      </w:r>
      <w:r w:rsidR="006A2984">
        <w:rPr>
          <w:rFonts w:cstheme="minorHAnsi"/>
          <w:b/>
          <w:i/>
          <w:color w:val="000000" w:themeColor="text1"/>
          <w:u w:val="single"/>
        </w:rPr>
        <w:t>documento da allegare</w:t>
      </w:r>
      <w:r w:rsidR="006A2984" w:rsidRPr="00C063A3">
        <w:rPr>
          <w:rFonts w:cstheme="minorHAnsi"/>
          <w:b/>
          <w:i/>
          <w:color w:val="000000" w:themeColor="text1"/>
          <w:u w:val="single"/>
        </w:rPr>
        <w:t xml:space="preserve"> </w:t>
      </w:r>
      <w:r w:rsidR="006C147B" w:rsidRPr="00C063A3">
        <w:rPr>
          <w:rFonts w:cstheme="minorHAnsi"/>
          <w:b/>
          <w:i/>
          <w:color w:val="000000" w:themeColor="text1"/>
          <w:u w:val="single"/>
        </w:rPr>
        <w:t>all’istanza</w:t>
      </w:r>
      <w:r w:rsidRPr="00C063A3">
        <w:rPr>
          <w:rFonts w:cstheme="minorHAnsi"/>
          <w:b/>
          <w:i/>
          <w:color w:val="000000" w:themeColor="text1"/>
          <w:u w:val="single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color w:val="000000" w:themeColor="text1"/>
        </w:rPr>
        <w:t>R</w:t>
      </w:r>
      <w:r w:rsidR="00F90DC3" w:rsidRPr="00C063A3">
        <w:rPr>
          <w:rFonts w:cstheme="minorHAnsi"/>
          <w:color w:val="000000" w:themeColor="text1"/>
        </w:rPr>
        <w:t>elazione della società di revisione legale che esprima un giudizio di conformità degli importi dichiarati rispetto ai valori esposti nella situazione contabile della società</w:t>
      </w:r>
      <w:r w:rsidR="00144997" w:rsidRPr="00C063A3">
        <w:rPr>
          <w:rFonts w:cstheme="minorHAnsi"/>
          <w:color w:val="000000" w:themeColor="text1"/>
        </w:rPr>
        <w:t>.</w:t>
      </w:r>
      <w:r w:rsidRPr="00C063A3">
        <w:rPr>
          <w:rFonts w:cstheme="minorHAnsi"/>
          <w:color w:val="000000" w:themeColor="text1"/>
        </w:rPr>
        <w:t xml:space="preserve"> Tale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</w:rPr>
      </w:pPr>
    </w:p>
    <w:p w:rsidR="006A2984" w:rsidRPr="006A2984" w:rsidRDefault="00A37C5E" w:rsidP="00144997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  <w:r w:rsidRPr="00A37C5E">
        <w:rPr>
          <w:rFonts w:cstheme="minorHAnsi"/>
          <w:b/>
          <w:i/>
          <w:color w:val="000000" w:themeColor="text1"/>
          <w:u w:val="single"/>
        </w:rPr>
        <w:t>In alternativa</w:t>
      </w:r>
    </w:p>
    <w:p w:rsidR="006A2984" w:rsidRDefault="005A16DE" w:rsidP="00CD0DED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b/>
          <w:color w:val="000000" w:themeColor="text1"/>
        </w:rPr>
        <w:t>Solo n</w:t>
      </w:r>
      <w:r w:rsidR="00144997" w:rsidRPr="00C063A3">
        <w:rPr>
          <w:rFonts w:cstheme="minorHAnsi"/>
          <w:b/>
          <w:color w:val="000000" w:themeColor="text1"/>
        </w:rPr>
        <w:t xml:space="preserve">el caso in cui il bilancio di esercizio dell’esercente non sia sottoposto a revisione legale, </w:t>
      </w:r>
      <w:r w:rsidR="00CD0DED" w:rsidRPr="00C063A3">
        <w:rPr>
          <w:rFonts w:cstheme="minorHAnsi"/>
          <w:b/>
          <w:color w:val="000000" w:themeColor="text1"/>
        </w:rPr>
        <w:t>firmare</w:t>
      </w:r>
      <w:r w:rsidR="00144997" w:rsidRPr="00C063A3">
        <w:rPr>
          <w:rFonts w:cstheme="minorHAnsi"/>
          <w:b/>
          <w:color w:val="000000" w:themeColor="text1"/>
        </w:rPr>
        <w:t xml:space="preserve"> la seguente dichiarazione</w:t>
      </w:r>
      <w:r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ai sensi degli artt. 46 e 47 del D.P.R. 28/12/2000, n.445</w:t>
      </w:r>
      <w:r w:rsidR="006A2984">
        <w:rPr>
          <w:rFonts w:cstheme="minorHAnsi"/>
          <w:color w:val="000000" w:themeColor="text1"/>
        </w:rPr>
        <w:t>:</w:t>
      </w:r>
    </w:p>
    <w:p w:rsidR="00CD0DED" w:rsidRPr="00C063A3" w:rsidRDefault="00CD0DED" w:rsidP="00CD0DED">
      <w:pPr>
        <w:spacing w:after="0"/>
        <w:jc w:val="both"/>
        <w:rPr>
          <w:rFonts w:cstheme="minorHAnsi"/>
          <w:b/>
          <w:color w:val="000000" w:themeColor="text1"/>
        </w:rPr>
      </w:pPr>
    </w:p>
    <w:p w:rsidR="001C5937" w:rsidRPr="0021120B" w:rsidRDefault="001C5937" w:rsidP="001C593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A4006">
        <w:rPr>
          <w:rFonts w:cstheme="minorHAnsi"/>
          <w:color w:val="000000" w:themeColor="text1"/>
        </w:rPr>
        <w:t xml:space="preserve">Si attesta la veridicità </w:t>
      </w:r>
      <w:r>
        <w:rPr>
          <w:rFonts w:cstheme="minorHAnsi"/>
          <w:color w:val="000000" w:themeColor="text1"/>
        </w:rPr>
        <w:t xml:space="preserve">delle dichiarazioni di cui alla presente istanza </w:t>
      </w:r>
      <w:r w:rsidRPr="003A4006">
        <w:rPr>
          <w:rFonts w:cstheme="minorHAnsi"/>
          <w:color w:val="000000" w:themeColor="text1"/>
        </w:rPr>
        <w:t xml:space="preserve">e la correttezza dei valori riportati </w:t>
      </w:r>
      <w:r>
        <w:rPr>
          <w:rFonts w:cstheme="minorHAnsi"/>
          <w:color w:val="000000" w:themeColor="text1"/>
        </w:rPr>
        <w:t xml:space="preserve">nell’apposito modello </w:t>
      </w:r>
      <w:r w:rsidRPr="00FE511D">
        <w:rPr>
          <w:rFonts w:cstheme="minorHAnsi"/>
          <w:color w:val="000000" w:themeColor="text1"/>
        </w:rPr>
        <w:t>predisposto sul Data Entry di Cassa</w:t>
      </w:r>
      <w:r w:rsidRPr="003A4006">
        <w:rPr>
          <w:rFonts w:cstheme="minorHAnsi"/>
          <w:color w:val="000000" w:themeColor="text1"/>
        </w:rPr>
        <w:t>.</w:t>
      </w:r>
    </w:p>
    <w:p w:rsidR="006A2984" w:rsidRDefault="006A2984" w:rsidP="0021120B">
      <w:pPr>
        <w:spacing w:after="0"/>
        <w:jc w:val="both"/>
        <w:rPr>
          <w:rFonts w:cstheme="minorHAnsi"/>
          <w:color w:val="000000" w:themeColor="text1"/>
        </w:rPr>
      </w:pPr>
    </w:p>
    <w:bookmarkEnd w:id="0"/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7250D3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C063A3">
      <w:footerReference w:type="default" r:id="rId8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DB" w:rsidRDefault="00657EDB" w:rsidP="00944B06">
      <w:pPr>
        <w:spacing w:after="0" w:line="240" w:lineRule="auto"/>
      </w:pPr>
      <w:r>
        <w:separator/>
      </w:r>
    </w:p>
  </w:endnote>
  <w:endnote w:type="continuationSeparator" w:id="0">
    <w:p w:rsidR="00657EDB" w:rsidRDefault="00657EDB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DE" w:rsidRDefault="00781A7A" w:rsidP="00A21BBF">
    <w:pPr>
      <w:pStyle w:val="Pidipagina"/>
      <w:jc w:val="right"/>
    </w:pPr>
    <w:r>
      <w:fldChar w:fldCharType="begin"/>
    </w:r>
    <w:r w:rsidR="005A16DE">
      <w:instrText>PAGE   \* MERGEFORMAT</w:instrText>
    </w:r>
    <w:r>
      <w:fldChar w:fldCharType="separate"/>
    </w:r>
    <w:r w:rsidR="003608B2">
      <w:rPr>
        <w:noProof/>
      </w:rPr>
      <w:t>1</w:t>
    </w:r>
    <w:r>
      <w:fldChar w:fldCharType="end"/>
    </w:r>
  </w:p>
  <w:p w:rsidR="00C063A3" w:rsidRPr="00C063A3" w:rsidRDefault="00C063A3" w:rsidP="00C063A3">
    <w:pPr>
      <w:pStyle w:val="Pidipagina"/>
      <w:rPr>
        <w:sz w:val="16"/>
        <w:szCs w:val="16"/>
      </w:rPr>
    </w:pPr>
    <w:r w:rsidRPr="00C063A3">
      <w:rPr>
        <w:sz w:val="16"/>
        <w:szCs w:val="16"/>
      </w:rPr>
      <w:t>01-20/02/18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DB" w:rsidRDefault="00657EDB" w:rsidP="00944B06">
      <w:pPr>
        <w:spacing w:after="0" w:line="240" w:lineRule="auto"/>
      </w:pPr>
      <w:r>
        <w:separator/>
      </w:r>
    </w:p>
  </w:footnote>
  <w:footnote w:type="continuationSeparator" w:id="0">
    <w:p w:rsidR="00657EDB" w:rsidRDefault="00657EDB" w:rsidP="00944B06">
      <w:pPr>
        <w:spacing w:after="0" w:line="240" w:lineRule="auto"/>
      </w:pPr>
      <w:r>
        <w:continuationSeparator/>
      </w:r>
    </w:p>
  </w:footnote>
  <w:footnote w:id="1">
    <w:p w:rsidR="001C5937" w:rsidRDefault="001C5937" w:rsidP="001C5937">
      <w:pPr>
        <w:pStyle w:val="Testonotaapidipagina"/>
      </w:pPr>
      <w:r w:rsidRPr="009E64DE">
        <w:rPr>
          <w:rStyle w:val="Rimandonotaapidipagina"/>
        </w:rPr>
        <w:footnoteRef/>
      </w:r>
      <w:r w:rsidRPr="009E64DE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  <w:p w:rsidR="001C5937" w:rsidRDefault="001C5937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6DDC"/>
    <w:rsid w:val="001C5937"/>
    <w:rsid w:val="001C5F24"/>
    <w:rsid w:val="00206C78"/>
    <w:rsid w:val="002102CE"/>
    <w:rsid w:val="00210943"/>
    <w:rsid w:val="0021120B"/>
    <w:rsid w:val="00230369"/>
    <w:rsid w:val="00233074"/>
    <w:rsid w:val="00245820"/>
    <w:rsid w:val="002473E3"/>
    <w:rsid w:val="00271270"/>
    <w:rsid w:val="002A2DDE"/>
    <w:rsid w:val="002C07CF"/>
    <w:rsid w:val="002D1D46"/>
    <w:rsid w:val="00307DBF"/>
    <w:rsid w:val="00332421"/>
    <w:rsid w:val="003608B2"/>
    <w:rsid w:val="00372461"/>
    <w:rsid w:val="00373C36"/>
    <w:rsid w:val="003C0508"/>
    <w:rsid w:val="003D35B0"/>
    <w:rsid w:val="003D56BF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1136"/>
    <w:rsid w:val="004E21DF"/>
    <w:rsid w:val="005120D0"/>
    <w:rsid w:val="00561BC7"/>
    <w:rsid w:val="00567D93"/>
    <w:rsid w:val="005817CD"/>
    <w:rsid w:val="00581A9A"/>
    <w:rsid w:val="00595B96"/>
    <w:rsid w:val="005A0CA2"/>
    <w:rsid w:val="005A16DE"/>
    <w:rsid w:val="005C00C4"/>
    <w:rsid w:val="005E48C2"/>
    <w:rsid w:val="005F401C"/>
    <w:rsid w:val="00601D21"/>
    <w:rsid w:val="00630EE3"/>
    <w:rsid w:val="00631DF9"/>
    <w:rsid w:val="00636041"/>
    <w:rsid w:val="00637F3C"/>
    <w:rsid w:val="00657EDB"/>
    <w:rsid w:val="006730BB"/>
    <w:rsid w:val="006940EF"/>
    <w:rsid w:val="006A2984"/>
    <w:rsid w:val="006C147B"/>
    <w:rsid w:val="006C4A2A"/>
    <w:rsid w:val="006C4C03"/>
    <w:rsid w:val="007250D3"/>
    <w:rsid w:val="00781A7A"/>
    <w:rsid w:val="007875A4"/>
    <w:rsid w:val="007F2E57"/>
    <w:rsid w:val="007F4616"/>
    <w:rsid w:val="00805882"/>
    <w:rsid w:val="00805A0E"/>
    <w:rsid w:val="008069CB"/>
    <w:rsid w:val="00812D1E"/>
    <w:rsid w:val="00831EF8"/>
    <w:rsid w:val="008456EB"/>
    <w:rsid w:val="008538B8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9E64DE"/>
    <w:rsid w:val="00A21BBF"/>
    <w:rsid w:val="00A2543D"/>
    <w:rsid w:val="00A375CF"/>
    <w:rsid w:val="00A37C5E"/>
    <w:rsid w:val="00A4405E"/>
    <w:rsid w:val="00A749E5"/>
    <w:rsid w:val="00A7550C"/>
    <w:rsid w:val="00A865ED"/>
    <w:rsid w:val="00AB38AB"/>
    <w:rsid w:val="00B02E5A"/>
    <w:rsid w:val="00B07C73"/>
    <w:rsid w:val="00B10E9E"/>
    <w:rsid w:val="00B16CE2"/>
    <w:rsid w:val="00B234A5"/>
    <w:rsid w:val="00B31C3C"/>
    <w:rsid w:val="00B342AE"/>
    <w:rsid w:val="00B73244"/>
    <w:rsid w:val="00B90000"/>
    <w:rsid w:val="00BC231D"/>
    <w:rsid w:val="00BC4F94"/>
    <w:rsid w:val="00BD21C8"/>
    <w:rsid w:val="00BD3FE1"/>
    <w:rsid w:val="00BE7D3A"/>
    <w:rsid w:val="00C063A3"/>
    <w:rsid w:val="00C12B6D"/>
    <w:rsid w:val="00C473B2"/>
    <w:rsid w:val="00CD0DED"/>
    <w:rsid w:val="00CE6EC7"/>
    <w:rsid w:val="00CF001B"/>
    <w:rsid w:val="00E147C3"/>
    <w:rsid w:val="00E233E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5E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7071-9A36-4D9F-9E7A-1309AAB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d.pallotto</cp:lastModifiedBy>
  <cp:revision>8</cp:revision>
  <cp:lastPrinted>2016-02-23T09:05:00Z</cp:lastPrinted>
  <dcterms:created xsi:type="dcterms:W3CDTF">2018-02-28T16:58:00Z</dcterms:created>
  <dcterms:modified xsi:type="dcterms:W3CDTF">2018-02-28T17:53:00Z</dcterms:modified>
</cp:coreProperties>
</file>