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2" w:rsidRPr="00A94960" w:rsidRDefault="0054306C" w:rsidP="00F55B06">
      <w:pPr>
        <w:pStyle w:val="Titolo1"/>
        <w:ind w:right="640"/>
        <w:rPr>
          <w:rFonts w:asciiTheme="minorHAnsi" w:hAnsiTheme="minorHAnsi" w:cstheme="minorHAnsi"/>
          <w:b w:val="0"/>
          <w:sz w:val="26"/>
          <w:szCs w:val="26"/>
        </w:rPr>
      </w:pPr>
      <w:r w:rsidRPr="00D43903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F55B06">
        <w:rPr>
          <w:rFonts w:asciiTheme="minorHAnsi" w:hAnsiTheme="minorHAnsi" w:cstheme="minorHAnsi"/>
          <w:b w:val="0"/>
          <w:bCs w:val="0"/>
          <w:sz w:val="26"/>
          <w:szCs w:val="26"/>
        </w:rPr>
        <w:tab/>
      </w:r>
      <w:r w:rsidR="00003582" w:rsidRPr="00A94960">
        <w:rPr>
          <w:rFonts w:asciiTheme="minorHAnsi" w:hAnsiTheme="minorHAnsi" w:cstheme="minorHAnsi"/>
          <w:b w:val="0"/>
          <w:sz w:val="26"/>
          <w:szCs w:val="26"/>
        </w:rPr>
        <w:t xml:space="preserve">luogo,  data </w:t>
      </w:r>
    </w:p>
    <w:p w:rsidR="00003582" w:rsidRPr="00D43903" w:rsidRDefault="00003582" w:rsidP="009F3633">
      <w:pPr>
        <w:ind w:left="709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D43903" w:rsidRDefault="00003582" w:rsidP="009F3633">
      <w:pPr>
        <w:ind w:left="709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D43903" w:rsidRDefault="00003582" w:rsidP="009F3633">
      <w:pPr>
        <w:ind w:left="709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D43903" w:rsidRDefault="00003582" w:rsidP="009F3633">
      <w:pPr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Premesso che:</w:t>
      </w:r>
    </w:p>
    <w:p w:rsidR="00003582" w:rsidRPr="00D43903" w:rsidRDefault="00003582" w:rsidP="009F3633">
      <w:pPr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143529" w:rsidRPr="00D43903" w:rsidRDefault="00143529" w:rsidP="009F3633">
      <w:pPr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D43903" w:rsidRDefault="00B73015" w:rsidP="009F3633">
      <w:pPr>
        <w:ind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D43903" w:rsidRDefault="00DC1254" w:rsidP="009F363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il </w:t>
      </w:r>
      <w:r w:rsidR="00B73015" w:rsidRPr="00D43903">
        <w:rPr>
          <w:rFonts w:asciiTheme="minorHAnsi" w:hAnsiTheme="minorHAnsi" w:cstheme="minorHAnsi"/>
          <w:sz w:val="26"/>
          <w:szCs w:val="26"/>
        </w:rPr>
        <w:t xml:space="preserve">Ministro dell’Economia e delle Finanze, di concerto con il Ministro dello Sviluppo Economico, </w:t>
      </w:r>
      <w:r w:rsidR="00A11BDE" w:rsidRPr="00D43903">
        <w:rPr>
          <w:rFonts w:asciiTheme="minorHAnsi" w:hAnsiTheme="minorHAnsi" w:cstheme="minorHAnsi"/>
          <w:sz w:val="26"/>
          <w:szCs w:val="26"/>
        </w:rPr>
        <w:t>ha adottato il decreto 5 aprile 2013, che definisce specifici requisiti e parametri per le imprese che registrano elevati consumi di energia ai fini dell’attuazione di quanto previsto dall’art. 39, comma 3, del decreto legge 83/12</w:t>
      </w:r>
      <w:r w:rsidR="00254384" w:rsidRPr="00D43903">
        <w:rPr>
          <w:rFonts w:asciiTheme="minorHAnsi" w:hAnsiTheme="minorHAnsi" w:cstheme="minorHAnsi"/>
          <w:sz w:val="26"/>
          <w:szCs w:val="26"/>
        </w:rPr>
        <w:t xml:space="preserve"> (convertito in L. n. 134/12)</w:t>
      </w:r>
      <w:r w:rsidR="00A11BDE" w:rsidRPr="00D43903">
        <w:rPr>
          <w:rFonts w:asciiTheme="minorHAnsi" w:hAnsiTheme="minorHAnsi" w:cstheme="minorHAnsi"/>
          <w:sz w:val="26"/>
          <w:szCs w:val="26"/>
        </w:rPr>
        <w:t>;</w:t>
      </w:r>
      <w:r w:rsidR="00B73015" w:rsidRPr="00D4390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37F37" w:rsidRPr="00D43903" w:rsidRDefault="00B4403E" w:rsidP="009F363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con la deliberazione </w:t>
      </w:r>
      <w:r w:rsidR="00437F37" w:rsidRPr="00D43903">
        <w:rPr>
          <w:rFonts w:asciiTheme="minorHAnsi" w:hAnsiTheme="minorHAnsi" w:cstheme="minorHAnsi"/>
          <w:sz w:val="26"/>
          <w:szCs w:val="26"/>
        </w:rPr>
        <w:t>437/2013/R/</w:t>
      </w:r>
      <w:proofErr w:type="spellStart"/>
      <w:r w:rsidR="00437F37" w:rsidRPr="00D43903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437F37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F55B06">
        <w:rPr>
          <w:rFonts w:asciiTheme="minorHAnsi" w:hAnsiTheme="minorHAnsi" w:cstheme="minorHAnsi"/>
          <w:sz w:val="26"/>
          <w:szCs w:val="26"/>
        </w:rPr>
        <w:t xml:space="preserve">e </w:t>
      </w:r>
      <w:proofErr w:type="spellStart"/>
      <w:r w:rsidR="00F55B06">
        <w:rPr>
          <w:rFonts w:asciiTheme="minorHAnsi" w:hAnsiTheme="minorHAnsi" w:cstheme="minorHAnsi"/>
          <w:sz w:val="26"/>
          <w:szCs w:val="26"/>
        </w:rPr>
        <w:t>s.m.i.</w:t>
      </w:r>
      <w:proofErr w:type="spellEnd"/>
      <w:r w:rsidR="00F55B06">
        <w:rPr>
          <w:rFonts w:asciiTheme="minorHAnsi" w:hAnsiTheme="minorHAnsi" w:cstheme="minorHAnsi"/>
          <w:sz w:val="26"/>
          <w:szCs w:val="26"/>
        </w:rPr>
        <w:t xml:space="preserve"> </w:t>
      </w:r>
      <w:r w:rsidR="00437F37" w:rsidRPr="00D43903">
        <w:rPr>
          <w:rFonts w:asciiTheme="minorHAnsi" w:hAnsiTheme="minorHAnsi" w:cstheme="minorHAnsi"/>
          <w:sz w:val="26"/>
          <w:szCs w:val="26"/>
        </w:rPr>
        <w:t xml:space="preserve">l’Autorità per l’energia elettrica, il gas ed il sistema idrico (l’”Autorità”) ha definito le modalità operative per la prima costituzione dell’elenco delle imprese a forte consumo di energia elettrica e per la prima applicazione delle disposizioni </w:t>
      </w:r>
      <w:r w:rsidR="00254384" w:rsidRPr="00D43903">
        <w:rPr>
          <w:rFonts w:asciiTheme="minorHAnsi" w:hAnsiTheme="minorHAnsi" w:cstheme="minorHAnsi"/>
          <w:sz w:val="26"/>
          <w:szCs w:val="26"/>
        </w:rPr>
        <w:t>del decreto</w:t>
      </w:r>
      <w:r w:rsidR="00437F37" w:rsidRPr="00D43903">
        <w:rPr>
          <w:rFonts w:asciiTheme="minorHAnsi" w:hAnsiTheme="minorHAnsi" w:cstheme="minorHAnsi"/>
          <w:sz w:val="26"/>
          <w:szCs w:val="26"/>
        </w:rPr>
        <w:t xml:space="preserve"> 5 aprile 2013 in materia di agevolazioni relative agli oneri generali di sistema per le imprese a forte consumo di energia (le “Agevolazioni”);</w:t>
      </w:r>
    </w:p>
    <w:p w:rsidR="00556C59" w:rsidRPr="00D43903" w:rsidRDefault="00437F37" w:rsidP="009F363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c</w:t>
      </w:r>
      <w:r w:rsidR="004963D5" w:rsidRPr="00D43903">
        <w:rPr>
          <w:rFonts w:asciiTheme="minorHAnsi" w:hAnsiTheme="minorHAnsi" w:cstheme="minorHAnsi"/>
          <w:sz w:val="26"/>
          <w:szCs w:val="26"/>
        </w:rPr>
        <w:t>on la deliberazione</w:t>
      </w:r>
      <w:r w:rsidR="00556C59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 467/2013/R/</w:t>
      </w:r>
      <w:proofErr w:type="spellStart"/>
      <w:r w:rsidR="004963D5" w:rsidRPr="00D43903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4963D5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F55B06">
        <w:rPr>
          <w:rFonts w:asciiTheme="minorHAnsi" w:hAnsiTheme="minorHAnsi" w:cstheme="minorHAnsi"/>
          <w:sz w:val="26"/>
          <w:szCs w:val="26"/>
        </w:rPr>
        <w:t xml:space="preserve">e </w:t>
      </w:r>
      <w:proofErr w:type="spellStart"/>
      <w:r w:rsidR="00F55B06">
        <w:rPr>
          <w:rFonts w:asciiTheme="minorHAnsi" w:hAnsiTheme="minorHAnsi" w:cstheme="minorHAnsi"/>
          <w:sz w:val="26"/>
          <w:szCs w:val="26"/>
        </w:rPr>
        <w:t>s.m.i.</w:t>
      </w:r>
      <w:proofErr w:type="spellEnd"/>
      <w:r w:rsidR="00F55B06">
        <w:rPr>
          <w:rFonts w:asciiTheme="minorHAnsi" w:hAnsiTheme="minorHAnsi" w:cstheme="minorHAnsi"/>
          <w:sz w:val="26"/>
          <w:szCs w:val="26"/>
        </w:rPr>
        <w:t xml:space="preserve"> 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l’Autorità ha </w:t>
      </w:r>
      <w:r w:rsidR="00523CBC" w:rsidRPr="00D43903">
        <w:rPr>
          <w:rFonts w:asciiTheme="minorHAnsi" w:hAnsiTheme="minorHAnsi" w:cstheme="minorHAnsi"/>
          <w:sz w:val="26"/>
          <w:szCs w:val="26"/>
        </w:rPr>
        <w:t>previsto</w:t>
      </w:r>
      <w:r w:rsidRPr="00D43903">
        <w:rPr>
          <w:rFonts w:asciiTheme="minorHAnsi" w:hAnsiTheme="minorHAnsi" w:cstheme="minorHAnsi"/>
          <w:sz w:val="26"/>
          <w:szCs w:val="26"/>
        </w:rPr>
        <w:t>, tra l’altro,</w:t>
      </w:r>
      <w:r w:rsidR="00523CBC" w:rsidRPr="00D43903">
        <w:rPr>
          <w:rFonts w:asciiTheme="minorHAnsi" w:hAnsiTheme="minorHAnsi" w:cstheme="minorHAnsi"/>
          <w:sz w:val="26"/>
          <w:szCs w:val="26"/>
        </w:rPr>
        <w:t xml:space="preserve"> che le A</w:t>
      </w:r>
      <w:r w:rsidR="00A11BDE" w:rsidRPr="00D43903">
        <w:rPr>
          <w:rFonts w:asciiTheme="minorHAnsi" w:hAnsiTheme="minorHAnsi" w:cstheme="minorHAnsi"/>
          <w:sz w:val="26"/>
          <w:szCs w:val="26"/>
        </w:rPr>
        <w:t>gevolazioni siano riconosciute</w:t>
      </w:r>
      <w:r w:rsidR="006035E8">
        <w:rPr>
          <w:rFonts w:asciiTheme="minorHAnsi" w:hAnsiTheme="minorHAnsi" w:cstheme="minorHAnsi"/>
          <w:sz w:val="26"/>
          <w:szCs w:val="26"/>
        </w:rPr>
        <w:t>, per l’anno 2013,</w:t>
      </w:r>
      <w:r w:rsidR="00A11BDE" w:rsidRPr="00D43903">
        <w:rPr>
          <w:rFonts w:asciiTheme="minorHAnsi" w:hAnsiTheme="minorHAnsi" w:cstheme="minorHAnsi"/>
          <w:sz w:val="26"/>
          <w:szCs w:val="26"/>
        </w:rPr>
        <w:t xml:space="preserve"> direttamente dalla </w:t>
      </w:r>
      <w:r w:rsidR="00556C59" w:rsidRPr="00D43903">
        <w:rPr>
          <w:rFonts w:asciiTheme="minorHAnsi" w:hAnsiTheme="minorHAnsi" w:cstheme="minorHAnsi"/>
          <w:sz w:val="26"/>
          <w:szCs w:val="26"/>
        </w:rPr>
        <w:t xml:space="preserve">Cassa per i servizi energetici e ambientali </w:t>
      </w:r>
      <w:r w:rsidR="00D43903">
        <w:rPr>
          <w:rFonts w:asciiTheme="minorHAnsi" w:hAnsiTheme="minorHAnsi" w:cstheme="minorHAnsi"/>
          <w:sz w:val="26"/>
          <w:szCs w:val="26"/>
        </w:rPr>
        <w:t xml:space="preserve">- </w:t>
      </w:r>
      <w:r w:rsidR="00556C59" w:rsidRPr="00D43903">
        <w:rPr>
          <w:rFonts w:asciiTheme="minorHAnsi" w:hAnsiTheme="minorHAnsi" w:cstheme="minorHAnsi"/>
          <w:sz w:val="26"/>
          <w:szCs w:val="26"/>
        </w:rPr>
        <w:t xml:space="preserve">CSEA </w:t>
      </w:r>
      <w:r w:rsidR="00D43903">
        <w:rPr>
          <w:rFonts w:asciiTheme="minorHAnsi" w:hAnsiTheme="minorHAnsi" w:cstheme="minorHAnsi"/>
          <w:sz w:val="26"/>
          <w:szCs w:val="26"/>
        </w:rPr>
        <w:t>(</w:t>
      </w:r>
      <w:r w:rsidR="00556C59" w:rsidRPr="00D43903">
        <w:rPr>
          <w:rFonts w:asciiTheme="minorHAnsi" w:hAnsiTheme="minorHAnsi" w:cstheme="minorHAnsi"/>
          <w:sz w:val="26"/>
          <w:szCs w:val="26"/>
        </w:rPr>
        <w:t xml:space="preserve">già Cassa conguaglio per il settore elettrico – </w:t>
      </w:r>
      <w:r w:rsidR="00593772" w:rsidRPr="00D43903">
        <w:rPr>
          <w:rFonts w:asciiTheme="minorHAnsi" w:hAnsiTheme="minorHAnsi" w:cstheme="minorHAnsi"/>
          <w:sz w:val="26"/>
          <w:szCs w:val="26"/>
        </w:rPr>
        <w:t>C</w:t>
      </w:r>
      <w:r w:rsidR="00D43903">
        <w:rPr>
          <w:rFonts w:asciiTheme="minorHAnsi" w:hAnsiTheme="minorHAnsi" w:cstheme="minorHAnsi"/>
          <w:sz w:val="26"/>
          <w:szCs w:val="26"/>
        </w:rPr>
        <w:t>CSE</w:t>
      </w:r>
      <w:r w:rsidR="00556C59" w:rsidRPr="00D43903">
        <w:rPr>
          <w:rFonts w:asciiTheme="minorHAnsi" w:hAnsiTheme="minorHAnsi" w:cstheme="minorHAnsi"/>
          <w:sz w:val="26"/>
          <w:szCs w:val="26"/>
        </w:rPr>
        <w:t xml:space="preserve">) </w:t>
      </w:r>
      <w:r w:rsidRPr="00D43903">
        <w:rPr>
          <w:rFonts w:asciiTheme="minorHAnsi" w:hAnsiTheme="minorHAnsi" w:cstheme="minorHAnsi"/>
          <w:sz w:val="26"/>
          <w:szCs w:val="26"/>
        </w:rPr>
        <w:t>con un meccanismo di acconto/conguaglio</w:t>
      </w:r>
      <w:r w:rsidR="00A11BDE" w:rsidRPr="00D43903">
        <w:rPr>
          <w:rFonts w:asciiTheme="minorHAnsi" w:hAnsiTheme="minorHAnsi" w:cstheme="minorHAnsi"/>
          <w:sz w:val="26"/>
          <w:szCs w:val="26"/>
        </w:rPr>
        <w:t>;</w:t>
      </w:r>
    </w:p>
    <w:p w:rsidR="00AB5088" w:rsidRPr="00D43903" w:rsidRDefault="00437F37" w:rsidP="009F363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la </w:t>
      </w:r>
      <w:r w:rsidR="00593772" w:rsidRPr="00D43903">
        <w:rPr>
          <w:rFonts w:asciiTheme="minorHAnsi" w:hAnsiTheme="minorHAnsi" w:cstheme="minorHAnsi"/>
          <w:sz w:val="26"/>
          <w:szCs w:val="26"/>
        </w:rPr>
        <w:t>CSEA</w:t>
      </w:r>
      <w:r w:rsidRPr="00D43903">
        <w:rPr>
          <w:rFonts w:asciiTheme="minorHAnsi" w:hAnsiTheme="minorHAnsi" w:cstheme="minorHAnsi"/>
          <w:sz w:val="26"/>
          <w:szCs w:val="26"/>
        </w:rPr>
        <w:t xml:space="preserve"> ha pubblicato sul proprio sito istituzionale l’elenco delle imprese beneficiarie</w:t>
      </w:r>
      <w:r w:rsidR="00AB5088" w:rsidRPr="00D43903">
        <w:rPr>
          <w:rFonts w:asciiTheme="minorHAnsi" w:hAnsiTheme="minorHAnsi" w:cstheme="minorHAnsi"/>
          <w:sz w:val="26"/>
          <w:szCs w:val="26"/>
        </w:rPr>
        <w:t>;</w:t>
      </w:r>
    </w:p>
    <w:p w:rsidR="00D43903" w:rsidRPr="00D43903" w:rsidRDefault="00D43903" w:rsidP="00D4390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con la deliberazione 106/2014/R/</w:t>
      </w:r>
      <w:proofErr w:type="spellStart"/>
      <w:r w:rsidRPr="00D43903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F55B06">
        <w:rPr>
          <w:rFonts w:asciiTheme="minorHAnsi" w:hAnsiTheme="minorHAnsi" w:cstheme="minorHAnsi"/>
          <w:sz w:val="26"/>
          <w:szCs w:val="26"/>
        </w:rPr>
        <w:t xml:space="preserve">e </w:t>
      </w:r>
      <w:proofErr w:type="spellStart"/>
      <w:r w:rsidR="00F55B06">
        <w:rPr>
          <w:rFonts w:asciiTheme="minorHAnsi" w:hAnsiTheme="minorHAnsi" w:cstheme="minorHAnsi"/>
          <w:sz w:val="26"/>
          <w:szCs w:val="26"/>
        </w:rPr>
        <w:t>s.m.i.</w:t>
      </w:r>
      <w:proofErr w:type="spellEnd"/>
      <w:r w:rsidR="00F55B06">
        <w:rPr>
          <w:rFonts w:asciiTheme="minorHAnsi" w:hAnsiTheme="minorHAnsi" w:cstheme="minorHAnsi"/>
          <w:sz w:val="26"/>
          <w:szCs w:val="26"/>
        </w:rPr>
        <w:t xml:space="preserve"> </w:t>
      </w:r>
      <w:r w:rsidRPr="00D43903">
        <w:rPr>
          <w:rFonts w:asciiTheme="minorHAnsi" w:hAnsiTheme="minorHAnsi" w:cstheme="minorHAnsi"/>
          <w:sz w:val="26"/>
          <w:szCs w:val="26"/>
        </w:rPr>
        <w:t>l’Autorità ha fissato le modalità e tempistiche per il riconoscimento delle Agevolazioni negli anni 2013 e 2014;</w:t>
      </w:r>
    </w:p>
    <w:p w:rsidR="00D43903" w:rsidRPr="00D43903" w:rsidRDefault="00D43903" w:rsidP="00D4390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con la deliberazione 148/2014/R/</w:t>
      </w:r>
      <w:proofErr w:type="spellStart"/>
      <w:r w:rsidRPr="00D43903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0E2FC0">
        <w:rPr>
          <w:rFonts w:asciiTheme="minorHAnsi" w:hAnsiTheme="minorHAnsi" w:cstheme="minorHAnsi"/>
          <w:sz w:val="26"/>
          <w:szCs w:val="26"/>
        </w:rPr>
        <w:t xml:space="preserve">l’Autorità </w:t>
      </w:r>
      <w:r w:rsidRPr="00D43903">
        <w:rPr>
          <w:rFonts w:asciiTheme="minorHAnsi" w:hAnsiTheme="minorHAnsi" w:cstheme="minorHAnsi"/>
          <w:sz w:val="26"/>
          <w:szCs w:val="26"/>
        </w:rPr>
        <w:t>ha evidenziato, tra le altre cose, la necessità di attivare un sistema di garanzie per la ripetizione di importi  erogati da C</w:t>
      </w:r>
      <w:r>
        <w:rPr>
          <w:rFonts w:asciiTheme="minorHAnsi" w:hAnsiTheme="minorHAnsi" w:cstheme="minorHAnsi"/>
          <w:sz w:val="26"/>
          <w:szCs w:val="26"/>
        </w:rPr>
        <w:t>SEA</w:t>
      </w:r>
      <w:r w:rsidRPr="00D43903">
        <w:rPr>
          <w:rFonts w:asciiTheme="minorHAnsi" w:hAnsiTheme="minorHAnsi" w:cstheme="minorHAnsi"/>
          <w:sz w:val="26"/>
          <w:szCs w:val="26"/>
        </w:rPr>
        <w:t xml:space="preserve"> che dovessero risultare a qualsiasi titolo non dovuti. Per l’effetto ha modificato l’allegato A della deliberazione 106/2014/R/</w:t>
      </w:r>
      <w:proofErr w:type="spellStart"/>
      <w:r w:rsidRPr="00D43903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6035E8">
        <w:rPr>
          <w:rFonts w:asciiTheme="minorHAnsi" w:hAnsiTheme="minorHAnsi" w:cstheme="minorHAnsi"/>
          <w:sz w:val="26"/>
          <w:szCs w:val="26"/>
        </w:rPr>
        <w:t xml:space="preserve"> (a sua volta successivamente aggiornato)</w:t>
      </w:r>
      <w:r w:rsidRPr="00D43903">
        <w:rPr>
          <w:rFonts w:asciiTheme="minorHAnsi" w:hAnsiTheme="minorHAnsi" w:cstheme="minorHAnsi"/>
          <w:sz w:val="26"/>
          <w:szCs w:val="26"/>
        </w:rPr>
        <w:t xml:space="preserve">, prevedendo (i) che l’importo delle agevolazioni spettante a titolo di acconto per il secondo semestre 2013 sia deliberato, comunicato alle imprese ammesse a godere dei benefici (le </w:t>
      </w:r>
      <w:r w:rsidRPr="00D43903">
        <w:rPr>
          <w:rFonts w:asciiTheme="minorHAnsi" w:hAnsiTheme="minorHAnsi" w:cstheme="minorHAnsi"/>
          <w:sz w:val="26"/>
          <w:szCs w:val="26"/>
        </w:rPr>
        <w:lastRenderedPageBreak/>
        <w:t>“Imprese”), e mantenuto da C</w:t>
      </w:r>
      <w:r>
        <w:rPr>
          <w:rFonts w:asciiTheme="minorHAnsi" w:hAnsiTheme="minorHAnsi" w:cstheme="minorHAnsi"/>
          <w:sz w:val="26"/>
          <w:szCs w:val="26"/>
        </w:rPr>
        <w:t>SEA</w:t>
      </w:r>
      <w:r w:rsidRPr="00D43903">
        <w:rPr>
          <w:rFonts w:asciiTheme="minorHAnsi" w:hAnsiTheme="minorHAnsi" w:cstheme="minorHAnsi"/>
          <w:sz w:val="26"/>
          <w:szCs w:val="26"/>
        </w:rPr>
        <w:t xml:space="preserve"> sul “conto per la copertura delle agevolazioni riconosciute alle imprese a forte consumo di energia elettrica”, e (ii) che le Imprese possano svincolare gli importi ad essi spettanti a fronte della presentazione di una garanzia fideiussoria rilasciata da primaria banca o compagnia assicurativa con il contenuto e secondo le modalità indicate da C</w:t>
      </w:r>
      <w:r>
        <w:rPr>
          <w:rFonts w:asciiTheme="minorHAnsi" w:hAnsiTheme="minorHAnsi" w:cstheme="minorHAnsi"/>
          <w:sz w:val="26"/>
          <w:szCs w:val="26"/>
        </w:rPr>
        <w:t>SEA</w:t>
      </w:r>
      <w:r w:rsidR="00D55092">
        <w:rPr>
          <w:rFonts w:asciiTheme="minorHAnsi" w:hAnsiTheme="minorHAnsi" w:cstheme="minorHAnsi"/>
          <w:sz w:val="26"/>
          <w:szCs w:val="26"/>
        </w:rPr>
        <w:t xml:space="preserve"> </w:t>
      </w:r>
      <w:r w:rsidRPr="00D43903">
        <w:rPr>
          <w:rFonts w:asciiTheme="minorHAnsi" w:hAnsiTheme="minorHAnsi" w:cstheme="minorHAnsi"/>
          <w:sz w:val="26"/>
          <w:szCs w:val="26"/>
        </w:rPr>
        <w:t>stessa;</w:t>
      </w:r>
    </w:p>
    <w:p w:rsidR="000E2FC0" w:rsidRDefault="000E2FC0" w:rsidP="00D4390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con la deliberazione 175/2016/R/</w:t>
      </w:r>
      <w:proofErr w:type="spellStart"/>
      <w:r>
        <w:rPr>
          <w:rFonts w:asciiTheme="minorHAnsi" w:hAnsiTheme="minorHAnsi" w:cstheme="minorHAnsi"/>
          <w:sz w:val="26"/>
          <w:szCs w:val="26"/>
        </w:rPr>
        <w:t>eel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l’Autorità ha previsto che, </w:t>
      </w:r>
      <w:r w:rsidRPr="00313C1E">
        <w:rPr>
          <w:rFonts w:asciiTheme="minorHAnsi" w:hAnsiTheme="minorHAnsi" w:cstheme="minorHAnsi"/>
          <w:sz w:val="26"/>
          <w:szCs w:val="26"/>
        </w:rPr>
        <w:t xml:space="preserve">con riferimento alle agevolazioni </w:t>
      </w:r>
      <w:r w:rsidR="00F55B06">
        <w:rPr>
          <w:rFonts w:asciiTheme="minorHAnsi" w:hAnsiTheme="minorHAnsi" w:cstheme="minorHAnsi"/>
          <w:sz w:val="26"/>
          <w:szCs w:val="26"/>
        </w:rPr>
        <w:t xml:space="preserve">di competenza 2013 già </w:t>
      </w:r>
      <w:r w:rsidRPr="00313C1E">
        <w:rPr>
          <w:rFonts w:asciiTheme="minorHAnsi" w:hAnsiTheme="minorHAnsi" w:cstheme="minorHAnsi"/>
          <w:sz w:val="26"/>
          <w:szCs w:val="26"/>
        </w:rPr>
        <w:t>erogate</w:t>
      </w:r>
      <w:r w:rsidR="00313C1E">
        <w:rPr>
          <w:rFonts w:asciiTheme="minorHAnsi" w:hAnsiTheme="minorHAnsi" w:cstheme="minorHAnsi"/>
          <w:sz w:val="26"/>
          <w:szCs w:val="26"/>
        </w:rPr>
        <w:t xml:space="preserve">, è necessario prorogare le fideiussioni </w:t>
      </w:r>
      <w:r w:rsidR="00F55B06">
        <w:rPr>
          <w:rFonts w:asciiTheme="minorHAnsi" w:hAnsiTheme="minorHAnsi" w:cstheme="minorHAnsi"/>
          <w:sz w:val="26"/>
          <w:szCs w:val="26"/>
        </w:rPr>
        <w:t>a suo tempo</w:t>
      </w:r>
      <w:r w:rsidR="00313C1E">
        <w:rPr>
          <w:rFonts w:asciiTheme="minorHAnsi" w:hAnsiTheme="minorHAnsi" w:cstheme="minorHAnsi"/>
          <w:sz w:val="26"/>
          <w:szCs w:val="26"/>
        </w:rPr>
        <w:t xml:space="preserve"> rilasciate, ovvero presentare una nuova fideiussione </w:t>
      </w:r>
      <w:r w:rsidR="00F55B06">
        <w:rPr>
          <w:rFonts w:asciiTheme="minorHAnsi" w:hAnsiTheme="minorHAnsi" w:cstheme="minorHAnsi"/>
          <w:sz w:val="26"/>
          <w:szCs w:val="26"/>
        </w:rPr>
        <w:t>a garanzia del medesimo importo</w:t>
      </w:r>
      <w:r w:rsidR="00313C1E">
        <w:rPr>
          <w:rFonts w:asciiTheme="minorHAnsi" w:hAnsiTheme="minorHAnsi" w:cstheme="minorHAnsi"/>
          <w:sz w:val="26"/>
          <w:szCs w:val="26"/>
        </w:rPr>
        <w:t>;</w:t>
      </w:r>
    </w:p>
    <w:p w:rsidR="00F55B06" w:rsidRPr="00F55B06" w:rsidRDefault="00F55B06" w:rsidP="00F55B06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C</w:t>
      </w:r>
      <w:r>
        <w:rPr>
          <w:rFonts w:asciiTheme="minorHAnsi" w:hAnsiTheme="minorHAnsi" w:cstheme="minorHAnsi"/>
          <w:sz w:val="26"/>
          <w:szCs w:val="26"/>
        </w:rPr>
        <w:t>SEA</w:t>
      </w:r>
      <w:r w:rsidRPr="00D43903">
        <w:rPr>
          <w:rFonts w:asciiTheme="minorHAnsi" w:hAnsiTheme="minorHAnsi" w:cstheme="minorHAnsi"/>
          <w:sz w:val="26"/>
          <w:szCs w:val="26"/>
        </w:rPr>
        <w:t xml:space="preserve"> ha dunque pubblicato su</w:t>
      </w:r>
      <w:r w:rsidR="000A2CFB">
        <w:rPr>
          <w:rFonts w:asciiTheme="minorHAnsi" w:hAnsiTheme="minorHAnsi" w:cstheme="minorHAnsi"/>
          <w:sz w:val="26"/>
          <w:szCs w:val="26"/>
        </w:rPr>
        <w:t>l</w:t>
      </w:r>
      <w:r w:rsidRPr="00D43903">
        <w:rPr>
          <w:rFonts w:asciiTheme="minorHAnsi" w:hAnsiTheme="minorHAnsi" w:cstheme="minorHAnsi"/>
          <w:sz w:val="26"/>
          <w:szCs w:val="26"/>
        </w:rPr>
        <w:t xml:space="preserve"> propri</w:t>
      </w:r>
      <w:r>
        <w:rPr>
          <w:rFonts w:asciiTheme="minorHAnsi" w:hAnsiTheme="minorHAnsi" w:cstheme="minorHAnsi"/>
          <w:sz w:val="26"/>
          <w:szCs w:val="26"/>
        </w:rPr>
        <w:t>o sito internet un facsim</w:t>
      </w:r>
      <w:r w:rsidR="006035E8">
        <w:rPr>
          <w:rFonts w:asciiTheme="minorHAnsi" w:hAnsiTheme="minorHAnsi" w:cstheme="minorHAnsi"/>
          <w:sz w:val="26"/>
          <w:szCs w:val="26"/>
        </w:rPr>
        <w:t xml:space="preserve">ile di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D43903">
        <w:rPr>
          <w:rFonts w:asciiTheme="minorHAnsi" w:hAnsiTheme="minorHAnsi" w:cstheme="minorHAnsi"/>
          <w:sz w:val="26"/>
          <w:szCs w:val="26"/>
        </w:rPr>
        <w:t xml:space="preserve">fideiussione, a garanzia della ripetizione degli importi </w:t>
      </w:r>
      <w:r>
        <w:rPr>
          <w:rFonts w:asciiTheme="minorHAnsi" w:hAnsiTheme="minorHAnsi" w:cstheme="minorHAnsi"/>
          <w:sz w:val="26"/>
          <w:szCs w:val="26"/>
        </w:rPr>
        <w:t xml:space="preserve">già </w:t>
      </w:r>
      <w:r w:rsidRPr="00D43903">
        <w:rPr>
          <w:rFonts w:asciiTheme="minorHAnsi" w:hAnsiTheme="minorHAnsi" w:cstheme="minorHAnsi"/>
          <w:sz w:val="26"/>
          <w:szCs w:val="26"/>
        </w:rPr>
        <w:t>erogati, che dovessero eventualmente risultare a qualsiasi titolo non dovuti, cui la presente è conforme in ogni sua parte;</w:t>
      </w:r>
    </w:p>
    <w:p w:rsidR="00D43903" w:rsidRPr="00D43903" w:rsidRDefault="00D43903" w:rsidP="00D43903">
      <w:pPr>
        <w:numPr>
          <w:ilvl w:val="0"/>
          <w:numId w:val="5"/>
        </w:numPr>
        <w:tabs>
          <w:tab w:val="clear" w:pos="1444"/>
          <w:tab w:val="num" w:pos="1086"/>
        </w:tabs>
        <w:ind w:left="1086" w:right="640" w:hanging="362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la società ………………….., partita IVA ………… (di seguito anche il “</w:t>
      </w:r>
      <w:r w:rsidR="00313C1E">
        <w:rPr>
          <w:rFonts w:asciiTheme="minorHAnsi" w:hAnsiTheme="minorHAnsi" w:cstheme="minorHAnsi"/>
          <w:sz w:val="26"/>
          <w:szCs w:val="26"/>
        </w:rPr>
        <w:t>Garantito</w:t>
      </w:r>
      <w:r w:rsidRPr="00D43903">
        <w:rPr>
          <w:rFonts w:asciiTheme="minorHAnsi" w:hAnsiTheme="minorHAnsi" w:cstheme="minorHAnsi"/>
          <w:sz w:val="26"/>
          <w:szCs w:val="26"/>
        </w:rPr>
        <w:t>”) intende</w:t>
      </w:r>
      <w:r w:rsidR="00F55B06">
        <w:rPr>
          <w:rFonts w:asciiTheme="minorHAnsi" w:hAnsiTheme="minorHAnsi" w:cstheme="minorHAnsi"/>
          <w:sz w:val="26"/>
          <w:szCs w:val="26"/>
        </w:rPr>
        <w:t xml:space="preserve"> garantire</w:t>
      </w:r>
      <w:r w:rsidR="00313C1E">
        <w:rPr>
          <w:rFonts w:asciiTheme="minorHAnsi" w:hAnsiTheme="minorHAnsi" w:cstheme="minorHAnsi"/>
          <w:sz w:val="26"/>
          <w:szCs w:val="26"/>
        </w:rPr>
        <w:t xml:space="preserve"> </w:t>
      </w:r>
      <w:r w:rsidRPr="00D43903">
        <w:rPr>
          <w:rFonts w:asciiTheme="minorHAnsi" w:hAnsiTheme="minorHAnsi" w:cstheme="minorHAnsi"/>
          <w:sz w:val="26"/>
          <w:szCs w:val="26"/>
        </w:rPr>
        <w:t xml:space="preserve">gli importi </w:t>
      </w:r>
      <w:r w:rsidR="00F55B06">
        <w:rPr>
          <w:rFonts w:asciiTheme="minorHAnsi" w:hAnsiTheme="minorHAnsi" w:cstheme="minorHAnsi"/>
          <w:sz w:val="26"/>
          <w:szCs w:val="26"/>
        </w:rPr>
        <w:t xml:space="preserve">già </w:t>
      </w:r>
      <w:r w:rsidR="00313C1E">
        <w:rPr>
          <w:rFonts w:asciiTheme="minorHAnsi" w:hAnsiTheme="minorHAnsi" w:cstheme="minorHAnsi"/>
          <w:sz w:val="26"/>
          <w:szCs w:val="26"/>
        </w:rPr>
        <w:t>ricevuti</w:t>
      </w:r>
      <w:r w:rsidRPr="00D43903">
        <w:rPr>
          <w:rFonts w:asciiTheme="minorHAnsi" w:hAnsiTheme="minorHAnsi" w:cstheme="minorHAnsi"/>
          <w:sz w:val="26"/>
          <w:szCs w:val="26"/>
        </w:rPr>
        <w:t xml:space="preserve"> mediante la presente </w:t>
      </w:r>
      <w:r w:rsidR="00F55B06">
        <w:rPr>
          <w:rFonts w:asciiTheme="minorHAnsi" w:hAnsiTheme="minorHAnsi" w:cstheme="minorHAnsi"/>
          <w:sz w:val="26"/>
          <w:szCs w:val="26"/>
        </w:rPr>
        <w:t xml:space="preserve">di una nuova </w:t>
      </w:r>
      <w:r w:rsidRPr="00D43903">
        <w:rPr>
          <w:rFonts w:asciiTheme="minorHAnsi" w:hAnsiTheme="minorHAnsi" w:cstheme="minorHAnsi"/>
          <w:sz w:val="26"/>
          <w:szCs w:val="26"/>
        </w:rPr>
        <w:t>garanzia fideiussoria a prima richiesta, che ha chiesto alla scrivente di emettere nel suo interesse ed a Vostro favore, redatta secondo il facsimile predisposto da C</w:t>
      </w:r>
      <w:r>
        <w:rPr>
          <w:rFonts w:asciiTheme="minorHAnsi" w:hAnsiTheme="minorHAnsi" w:cstheme="minorHAnsi"/>
          <w:sz w:val="26"/>
          <w:szCs w:val="26"/>
        </w:rPr>
        <w:t>SEA</w:t>
      </w:r>
      <w:r w:rsidRPr="00D43903">
        <w:rPr>
          <w:rFonts w:asciiTheme="minorHAnsi" w:hAnsiTheme="minorHAnsi" w:cstheme="minorHAnsi"/>
          <w:sz w:val="26"/>
          <w:szCs w:val="26"/>
        </w:rPr>
        <w:t>;</w:t>
      </w:r>
    </w:p>
    <w:p w:rsidR="00BF409E" w:rsidRPr="00D43903" w:rsidRDefault="00BF409E" w:rsidP="00D43903">
      <w:pPr>
        <w:ind w:left="1086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D43903" w:rsidRDefault="00003582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Tutto ciò premesso,</w:t>
      </w:r>
    </w:p>
    <w:p w:rsidR="00D247E7" w:rsidRPr="00D43903" w:rsidRDefault="00003582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con la presente</w:t>
      </w:r>
      <w:r w:rsidR="00C320DB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3634D3" w:rsidRPr="00D43903">
        <w:rPr>
          <w:rFonts w:asciiTheme="minorHAnsi" w:hAnsiTheme="minorHAnsi" w:cstheme="minorHAnsi"/>
          <w:sz w:val="26"/>
          <w:szCs w:val="26"/>
        </w:rPr>
        <w:t xml:space="preserve">garanzia fideiussoria 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a prima richiesta </w:t>
      </w:r>
      <w:r w:rsidR="00C320DB" w:rsidRPr="00D43903">
        <w:rPr>
          <w:rFonts w:asciiTheme="minorHAnsi" w:hAnsiTheme="minorHAnsi" w:cstheme="minorHAnsi"/>
          <w:sz w:val="26"/>
          <w:szCs w:val="26"/>
        </w:rPr>
        <w:t>(la “Garanzia”)</w:t>
      </w:r>
      <w:r w:rsidRPr="00D43903">
        <w:rPr>
          <w:rFonts w:asciiTheme="minorHAnsi" w:hAnsiTheme="minorHAnsi" w:cstheme="minorHAnsi"/>
          <w:sz w:val="26"/>
          <w:szCs w:val="26"/>
        </w:rPr>
        <w:t xml:space="preserve">, la sottoscritta </w:t>
      </w:r>
      <w:r w:rsidR="004963D5" w:rsidRPr="00D43903">
        <w:rPr>
          <w:rFonts w:asciiTheme="minorHAnsi" w:hAnsiTheme="minorHAnsi" w:cstheme="minorHAnsi"/>
          <w:sz w:val="26"/>
          <w:szCs w:val="26"/>
        </w:rPr>
        <w:t>[inserire il nome della banca / compagnia assicurativa]</w:t>
      </w:r>
      <w:r w:rsidRPr="00D43903">
        <w:rPr>
          <w:rFonts w:asciiTheme="minorHAnsi" w:hAnsiTheme="minorHAnsi" w:cstheme="minorHAnsi"/>
          <w:sz w:val="26"/>
          <w:szCs w:val="26"/>
        </w:rPr>
        <w:t xml:space="preserve"> (di seguito </w:t>
      </w:r>
      <w:r w:rsidR="004963D5" w:rsidRPr="00D43903">
        <w:rPr>
          <w:rFonts w:asciiTheme="minorHAnsi" w:hAnsiTheme="minorHAnsi" w:cstheme="minorHAnsi"/>
          <w:sz w:val="26"/>
          <w:szCs w:val="26"/>
        </w:rPr>
        <w:t>il “Garante”</w:t>
      </w:r>
      <w:r w:rsidRPr="00D43903">
        <w:rPr>
          <w:rFonts w:asciiTheme="minorHAnsi" w:hAnsiTheme="minorHAnsi" w:cstheme="minorHAnsi"/>
          <w:sz w:val="26"/>
          <w:szCs w:val="26"/>
        </w:rPr>
        <w:t>) si obbliga direttamente e autonomamente al puntuale soddisfaciment</w:t>
      </w:r>
      <w:r w:rsidR="00D247E7" w:rsidRPr="00D43903">
        <w:rPr>
          <w:rFonts w:asciiTheme="minorHAnsi" w:hAnsiTheme="minorHAnsi" w:cstheme="minorHAnsi"/>
          <w:sz w:val="26"/>
          <w:szCs w:val="26"/>
        </w:rPr>
        <w:t xml:space="preserve">o delle 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eventuali </w:t>
      </w:r>
      <w:r w:rsidR="00D247E7" w:rsidRPr="00D43903">
        <w:rPr>
          <w:rFonts w:asciiTheme="minorHAnsi" w:hAnsiTheme="minorHAnsi" w:cstheme="minorHAnsi"/>
          <w:sz w:val="26"/>
          <w:szCs w:val="26"/>
        </w:rPr>
        <w:t xml:space="preserve">ragioni di credito di </w:t>
      </w:r>
      <w:r w:rsidR="00593772" w:rsidRPr="00D43903">
        <w:rPr>
          <w:rFonts w:asciiTheme="minorHAnsi" w:hAnsiTheme="minorHAnsi" w:cstheme="minorHAnsi"/>
          <w:sz w:val="26"/>
          <w:szCs w:val="26"/>
        </w:rPr>
        <w:t>CSEA</w:t>
      </w:r>
      <w:r w:rsidR="00C320DB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4963D5" w:rsidRPr="00D43903">
        <w:rPr>
          <w:rFonts w:asciiTheme="minorHAnsi" w:hAnsiTheme="minorHAnsi" w:cstheme="minorHAnsi"/>
          <w:sz w:val="26"/>
          <w:szCs w:val="26"/>
        </w:rPr>
        <w:t>come descritte in premessa</w:t>
      </w:r>
      <w:r w:rsidRPr="00D43903">
        <w:rPr>
          <w:rFonts w:asciiTheme="minorHAnsi" w:hAnsiTheme="minorHAnsi" w:cstheme="minorHAnsi"/>
          <w:sz w:val="26"/>
          <w:szCs w:val="26"/>
        </w:rPr>
        <w:t>, obbligandosi</w:t>
      </w:r>
      <w:r w:rsidR="00D247E7" w:rsidRPr="00D43903">
        <w:rPr>
          <w:rFonts w:asciiTheme="minorHAnsi" w:hAnsiTheme="minorHAnsi" w:cstheme="minorHAnsi"/>
          <w:sz w:val="26"/>
          <w:szCs w:val="26"/>
        </w:rPr>
        <w:t xml:space="preserve"> irrevocabilmente a versare a 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prima richiesta a </w:t>
      </w:r>
      <w:r w:rsidR="00593772" w:rsidRPr="00D43903">
        <w:rPr>
          <w:rFonts w:asciiTheme="minorHAnsi" w:hAnsiTheme="minorHAnsi" w:cstheme="minorHAnsi"/>
          <w:sz w:val="26"/>
          <w:szCs w:val="26"/>
        </w:rPr>
        <w:t>CSEA</w:t>
      </w:r>
      <w:r w:rsidRPr="00D43903">
        <w:rPr>
          <w:rFonts w:asciiTheme="minorHAnsi" w:hAnsiTheme="minorHAnsi" w:cstheme="minorHAnsi"/>
          <w:sz w:val="26"/>
          <w:szCs w:val="26"/>
        </w:rPr>
        <w:t xml:space="preserve"> medesima quell’importo che la stessa sarà ad indicare come dovuto, entro </w:t>
      </w:r>
      <w:r w:rsidR="00C320DB" w:rsidRPr="00D43903">
        <w:rPr>
          <w:rFonts w:asciiTheme="minorHAnsi" w:hAnsiTheme="minorHAnsi" w:cstheme="minorHAnsi"/>
          <w:sz w:val="26"/>
          <w:szCs w:val="26"/>
        </w:rPr>
        <w:t>il massimale globale di € [</w:t>
      </w:r>
      <w:r w:rsidR="00FD42A6" w:rsidRPr="00D43903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inserire esattamente l’importo </w:t>
      </w:r>
      <w:r w:rsidR="004940ED">
        <w:rPr>
          <w:rFonts w:asciiTheme="minorHAnsi" w:hAnsiTheme="minorHAnsi" w:cstheme="minorHAnsi"/>
          <w:b/>
          <w:i/>
          <w:color w:val="000000"/>
          <w:sz w:val="26"/>
          <w:szCs w:val="26"/>
        </w:rPr>
        <w:t>già garantito con la fideiussione rilasciata a suo tempo</w:t>
      </w:r>
      <w:bookmarkStart w:id="0" w:name="_GoBack"/>
      <w:bookmarkEnd w:id="0"/>
      <w:r w:rsidR="00C320DB" w:rsidRPr="00D43903">
        <w:rPr>
          <w:rFonts w:asciiTheme="minorHAnsi" w:hAnsiTheme="minorHAnsi" w:cstheme="minorHAnsi"/>
          <w:sz w:val="26"/>
          <w:szCs w:val="26"/>
        </w:rPr>
        <w:t>].</w:t>
      </w:r>
      <w:r w:rsidRPr="00D4390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4306C" w:rsidRPr="00D43903" w:rsidRDefault="00D247E7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Tale pagamento sarà effettuato </w:t>
      </w:r>
      <w:r w:rsidR="00003582" w:rsidRPr="00D43903">
        <w:rPr>
          <w:rFonts w:asciiTheme="minorHAnsi" w:hAnsiTheme="minorHAnsi" w:cstheme="minorHAnsi"/>
          <w:sz w:val="26"/>
          <w:szCs w:val="26"/>
        </w:rPr>
        <w:t>a pr</w:t>
      </w:r>
      <w:r w:rsidRPr="00D43903">
        <w:rPr>
          <w:rFonts w:asciiTheme="minorHAnsi" w:hAnsiTheme="minorHAnsi" w:cstheme="minorHAnsi"/>
          <w:sz w:val="26"/>
          <w:szCs w:val="26"/>
        </w:rPr>
        <w:t xml:space="preserve">ima e semplice richiesta di </w:t>
      </w:r>
      <w:r w:rsidR="00593772" w:rsidRPr="00D43903">
        <w:rPr>
          <w:rFonts w:asciiTheme="minorHAnsi" w:hAnsiTheme="minorHAnsi" w:cstheme="minorHAnsi"/>
          <w:sz w:val="26"/>
          <w:szCs w:val="26"/>
        </w:rPr>
        <w:t>CSEA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 entro il termine di </w:t>
      </w:r>
      <w:r w:rsidR="00FD42A6" w:rsidRPr="00D43903">
        <w:rPr>
          <w:rFonts w:asciiTheme="minorHAnsi" w:hAnsiTheme="minorHAnsi" w:cstheme="minorHAnsi"/>
          <w:sz w:val="26"/>
          <w:szCs w:val="26"/>
        </w:rPr>
        <w:t>7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 (</w:t>
      </w:r>
      <w:r w:rsidR="00FD42A6" w:rsidRPr="00D43903">
        <w:rPr>
          <w:rFonts w:asciiTheme="minorHAnsi" w:hAnsiTheme="minorHAnsi" w:cstheme="minorHAnsi"/>
          <w:sz w:val="26"/>
          <w:szCs w:val="26"/>
        </w:rPr>
        <w:t>sette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) giorni </w:t>
      </w:r>
      <w:r w:rsidR="00FD42A6" w:rsidRPr="00D43903">
        <w:rPr>
          <w:rFonts w:asciiTheme="minorHAnsi" w:hAnsiTheme="minorHAnsi" w:cstheme="minorHAnsi"/>
          <w:sz w:val="26"/>
          <w:szCs w:val="26"/>
        </w:rPr>
        <w:t xml:space="preserve">lavorativi </w:t>
      </w:r>
      <w:r w:rsidR="00003582" w:rsidRPr="00D43903">
        <w:rPr>
          <w:rFonts w:asciiTheme="minorHAnsi" w:hAnsiTheme="minorHAnsi" w:cstheme="minorHAnsi"/>
          <w:sz w:val="26"/>
          <w:szCs w:val="26"/>
        </w:rPr>
        <w:t>dal ricevimento della richiesta,</w:t>
      </w:r>
      <w:r w:rsidR="00715424" w:rsidRPr="00D43903">
        <w:rPr>
          <w:rFonts w:asciiTheme="minorHAnsi" w:hAnsiTheme="minorHAnsi" w:cstheme="minorHAnsi"/>
          <w:sz w:val="26"/>
          <w:szCs w:val="26"/>
        </w:rPr>
        <w:t xml:space="preserve"> da effettuarsi tramite raccomandata A/R o posta elettronica certificata,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 senza ulteriore avviso, senza bisogno di prova se non quella costituita dalla dichiarazione comportante la richiesta di pagamento, senza limitazioni o condizioni di alcun tipo e senza possibilità di eccezione alcuna da parte del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 Garante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, anche se determinata da opposizioni giudiziali e/o stragiudiziali, da chiunque ed a qualsiasi titolo attivate, e nonostante qualsiasi eccezione e/od opposizione da parte </w:t>
      </w:r>
      <w:r w:rsidR="00143529" w:rsidRPr="00D43903">
        <w:rPr>
          <w:rFonts w:asciiTheme="minorHAnsi" w:hAnsiTheme="minorHAnsi" w:cstheme="minorHAnsi"/>
          <w:sz w:val="26"/>
          <w:szCs w:val="26"/>
        </w:rPr>
        <w:t>del</w:t>
      </w:r>
      <w:r w:rsidR="004963D5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715424" w:rsidRPr="00D43903">
        <w:rPr>
          <w:rFonts w:asciiTheme="minorHAnsi" w:hAnsiTheme="minorHAnsi" w:cstheme="minorHAnsi"/>
          <w:sz w:val="26"/>
          <w:szCs w:val="26"/>
        </w:rPr>
        <w:t>Garantito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. </w:t>
      </w:r>
      <w:r w:rsidR="0054306C" w:rsidRPr="00D43903">
        <w:rPr>
          <w:rFonts w:asciiTheme="minorHAnsi" w:hAnsiTheme="minorHAnsi" w:cstheme="minorHAnsi"/>
          <w:sz w:val="26"/>
          <w:szCs w:val="26"/>
        </w:rPr>
        <w:lastRenderedPageBreak/>
        <w:t xml:space="preserve">La Garanzia mantiene dunque tutti i suoi effetti anche nel caso di invalidità delle obbligazioni garantite e </w:t>
      </w:r>
      <w:r w:rsidR="00523CBC" w:rsidRPr="00D43903">
        <w:rPr>
          <w:rFonts w:asciiTheme="minorHAnsi" w:hAnsiTheme="minorHAnsi" w:cstheme="minorHAnsi"/>
          <w:sz w:val="26"/>
          <w:szCs w:val="26"/>
        </w:rPr>
        <w:t xml:space="preserve">il Garante </w:t>
      </w:r>
      <w:r w:rsidR="0054306C" w:rsidRPr="00D43903">
        <w:rPr>
          <w:rFonts w:asciiTheme="minorHAnsi" w:hAnsiTheme="minorHAnsi" w:cstheme="minorHAnsi"/>
          <w:sz w:val="26"/>
          <w:szCs w:val="26"/>
        </w:rPr>
        <w:t xml:space="preserve">non potrà opporre a </w:t>
      </w:r>
      <w:r w:rsidR="00593772" w:rsidRPr="00D43903">
        <w:rPr>
          <w:rFonts w:asciiTheme="minorHAnsi" w:hAnsiTheme="minorHAnsi" w:cstheme="minorHAnsi"/>
          <w:sz w:val="26"/>
          <w:szCs w:val="26"/>
        </w:rPr>
        <w:t>CSEA</w:t>
      </w:r>
      <w:r w:rsidR="0054306C" w:rsidRPr="00D43903">
        <w:rPr>
          <w:rFonts w:asciiTheme="minorHAnsi" w:hAnsiTheme="minorHAnsi" w:cstheme="minorHAnsi"/>
          <w:sz w:val="26"/>
          <w:szCs w:val="26"/>
        </w:rPr>
        <w:t xml:space="preserve"> nessuna eccezione relativa alle suddette obbligazioni.</w:t>
      </w:r>
    </w:p>
    <w:p w:rsidR="009634F6" w:rsidRPr="00D43903" w:rsidRDefault="004963D5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Le parti rinunciano espressamente al beneficio della preventiva escussione di cui all’art. 1944 cod. civ.</w:t>
      </w:r>
      <w:r w:rsidR="00986CC5" w:rsidRPr="00D43903">
        <w:rPr>
          <w:rFonts w:asciiTheme="minorHAnsi" w:hAnsiTheme="minorHAnsi" w:cstheme="minorHAnsi"/>
          <w:sz w:val="26"/>
          <w:szCs w:val="26"/>
        </w:rPr>
        <w:t>, nonché escludono l’applicazione dell’art. 1957 cod. civ.</w:t>
      </w:r>
      <w:r w:rsidR="00BC643C" w:rsidRPr="00D43903">
        <w:rPr>
          <w:rFonts w:asciiTheme="minorHAnsi" w:hAnsiTheme="minorHAnsi" w:cstheme="minorHAnsi"/>
          <w:sz w:val="26"/>
          <w:szCs w:val="26"/>
        </w:rPr>
        <w:t>.</w:t>
      </w:r>
    </w:p>
    <w:p w:rsidR="00BC643C" w:rsidRPr="00D43903" w:rsidRDefault="00003582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La Garanzia perderà efficacia </w:t>
      </w:r>
      <w:r w:rsidR="00BC643C" w:rsidRPr="00D43903">
        <w:rPr>
          <w:rFonts w:asciiTheme="minorHAnsi" w:hAnsiTheme="minorHAnsi" w:cstheme="minorHAnsi"/>
          <w:sz w:val="26"/>
          <w:szCs w:val="26"/>
        </w:rPr>
        <w:t>il 30 novembre 2016</w:t>
      </w:r>
      <w:r w:rsidR="001D4ACE" w:rsidRPr="00D43903">
        <w:rPr>
          <w:rFonts w:asciiTheme="minorHAnsi" w:hAnsiTheme="minorHAnsi" w:cstheme="minorHAnsi"/>
          <w:sz w:val="26"/>
          <w:szCs w:val="26"/>
        </w:rPr>
        <w:t>, con opzione di proroga di ulteriori 12 mesi</w:t>
      </w:r>
      <w:r w:rsidR="00BC643C" w:rsidRPr="00D43903">
        <w:rPr>
          <w:rFonts w:asciiTheme="minorHAnsi" w:hAnsiTheme="minorHAnsi" w:cstheme="minorHAnsi"/>
          <w:sz w:val="26"/>
          <w:szCs w:val="26"/>
        </w:rPr>
        <w:t>.</w:t>
      </w:r>
    </w:p>
    <w:p w:rsidR="00715424" w:rsidRPr="00D43903" w:rsidRDefault="00BC643C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Il</w:t>
      </w:r>
      <w:r w:rsidR="00715424" w:rsidRPr="00D43903">
        <w:rPr>
          <w:rFonts w:asciiTheme="minorHAnsi" w:hAnsiTheme="minorHAnsi" w:cstheme="minorHAnsi"/>
          <w:sz w:val="26"/>
          <w:szCs w:val="26"/>
        </w:rPr>
        <w:t xml:space="preserve"> termine entro il quale dovranno pervenire le richieste di escussione</w:t>
      </w:r>
      <w:r w:rsidR="001D4ACE" w:rsidRPr="00D43903">
        <w:rPr>
          <w:rFonts w:asciiTheme="minorHAnsi" w:hAnsiTheme="minorHAnsi" w:cstheme="minorHAnsi"/>
          <w:sz w:val="26"/>
          <w:szCs w:val="26"/>
        </w:rPr>
        <w:t xml:space="preserve"> è fissato in 15 giorni lavorativi successivi alle suddette scadenze</w:t>
      </w:r>
      <w:r w:rsidR="00715424" w:rsidRPr="00D43903">
        <w:rPr>
          <w:rFonts w:asciiTheme="minorHAnsi" w:hAnsiTheme="minorHAnsi" w:cstheme="minorHAnsi"/>
          <w:sz w:val="26"/>
          <w:szCs w:val="26"/>
        </w:rPr>
        <w:t>.</w:t>
      </w:r>
    </w:p>
    <w:p w:rsidR="00003582" w:rsidRPr="00D43903" w:rsidRDefault="00715424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La Garanzia perderà efficacia</w:t>
      </w:r>
      <w:r w:rsidR="001D4ACE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Pr="00D43903">
        <w:rPr>
          <w:rFonts w:asciiTheme="minorHAnsi" w:hAnsiTheme="minorHAnsi" w:cstheme="minorHAnsi"/>
          <w:sz w:val="26"/>
          <w:szCs w:val="26"/>
        </w:rPr>
        <w:t>anche in assenza di restituzione materiale della medesima Garanzia</w:t>
      </w:r>
      <w:r w:rsidR="00003582" w:rsidRPr="00D43903">
        <w:rPr>
          <w:rFonts w:asciiTheme="minorHAnsi" w:hAnsiTheme="minorHAnsi" w:cstheme="minorHAnsi"/>
          <w:sz w:val="26"/>
          <w:szCs w:val="26"/>
        </w:rPr>
        <w:t>.</w:t>
      </w:r>
    </w:p>
    <w:p w:rsidR="00003582" w:rsidRPr="00D43903" w:rsidRDefault="004963D5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Il Garante</w:t>
      </w:r>
      <w:r w:rsidR="00003582" w:rsidRPr="00D43903">
        <w:rPr>
          <w:rFonts w:asciiTheme="minorHAnsi" w:hAnsiTheme="minorHAnsi" w:cstheme="minorHAnsi"/>
          <w:sz w:val="26"/>
          <w:szCs w:val="26"/>
        </w:rPr>
        <w:t xml:space="preserve"> dichiara di eleggere domicilio presso …………..………………………. e di accettare per ogni eventuale controversia la competenza esclusiva del Foro di Roma.  La Garanzia è regolata dal diritto italiano.</w:t>
      </w:r>
    </w:p>
    <w:p w:rsidR="00003582" w:rsidRPr="00D43903" w:rsidRDefault="00003582" w:rsidP="009F3633">
      <w:pPr>
        <w:spacing w:before="120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>Qualsiasi comunicazione inerente alla Garanzia dovrà essere effettuata al seguente indirizzo ……………………………………………………...</w:t>
      </w:r>
    </w:p>
    <w:p w:rsidR="00003582" w:rsidRPr="00D43903" w:rsidRDefault="00003582" w:rsidP="009F3633">
      <w:pPr>
        <w:spacing w:line="360" w:lineRule="exact"/>
        <w:ind w:left="726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003582" w:rsidP="009F3633">
      <w:pPr>
        <w:ind w:left="567" w:right="640"/>
        <w:jc w:val="center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="003634D3" w:rsidRPr="00D43903">
        <w:rPr>
          <w:rFonts w:asciiTheme="minorHAnsi" w:hAnsiTheme="minorHAnsi" w:cstheme="minorHAnsi"/>
          <w:sz w:val="26"/>
          <w:szCs w:val="26"/>
        </w:rPr>
        <w:tab/>
      </w:r>
      <w:r w:rsidR="003634D3" w:rsidRPr="00D43903">
        <w:rPr>
          <w:rFonts w:asciiTheme="minorHAnsi" w:hAnsiTheme="minorHAnsi" w:cstheme="minorHAnsi"/>
          <w:sz w:val="26"/>
          <w:szCs w:val="26"/>
        </w:rPr>
        <w:tab/>
      </w:r>
      <w:r w:rsidR="009F3633" w:rsidRPr="00D43903">
        <w:rPr>
          <w:rFonts w:asciiTheme="minorHAnsi" w:hAnsiTheme="minorHAnsi" w:cstheme="minorHAnsi"/>
          <w:sz w:val="26"/>
          <w:szCs w:val="26"/>
        </w:rPr>
        <w:t xml:space="preserve">       </w:t>
      </w:r>
      <w:r w:rsidR="00523CBC" w:rsidRPr="00D43903">
        <w:rPr>
          <w:rFonts w:asciiTheme="minorHAnsi" w:hAnsiTheme="minorHAnsi" w:cstheme="minorHAnsi"/>
          <w:sz w:val="26"/>
          <w:szCs w:val="26"/>
        </w:rPr>
        <w:t xml:space="preserve"> </w:t>
      </w:r>
      <w:r w:rsidR="009F3633" w:rsidRPr="00D43903">
        <w:rPr>
          <w:rFonts w:asciiTheme="minorHAnsi" w:hAnsiTheme="minorHAnsi" w:cstheme="minorHAnsi"/>
          <w:sz w:val="26"/>
          <w:szCs w:val="26"/>
        </w:rPr>
        <w:t>Firma del Fideiussore</w:t>
      </w:r>
    </w:p>
    <w:p w:rsidR="009F3633" w:rsidRPr="00D43903" w:rsidRDefault="009F3633" w:rsidP="009F3633">
      <w:pPr>
        <w:spacing w:before="120" w:line="-360" w:lineRule="auto"/>
        <w:ind w:left="724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9F3633" w:rsidRPr="00D43903" w:rsidRDefault="009F3633" w:rsidP="009F3633">
      <w:pPr>
        <w:ind w:left="567" w:right="64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43903">
        <w:rPr>
          <w:rFonts w:asciiTheme="minorHAnsi" w:hAnsiTheme="minorHAnsi" w:cstheme="minorHAnsi"/>
          <w:b/>
          <w:sz w:val="26"/>
          <w:szCs w:val="26"/>
        </w:rPr>
        <w:t>Clausola integrativa*</w:t>
      </w:r>
    </w:p>
    <w:p w:rsidR="009F3633" w:rsidRPr="00D43903" w:rsidRDefault="009F3633" w:rsidP="009F3633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 xml:space="preserve">In caso di quantificazione dell’agevolazione 2014 in favore dell’impresa </w:t>
      </w:r>
      <w:proofErr w:type="spellStart"/>
      <w:r w:rsidRPr="00D43903">
        <w:rPr>
          <w:rFonts w:asciiTheme="minorHAnsi" w:hAnsiTheme="minorHAnsi" w:cstheme="minorHAnsi"/>
          <w:sz w:val="26"/>
          <w:szCs w:val="26"/>
        </w:rPr>
        <w:t>xxxxxx</w:t>
      </w:r>
      <w:proofErr w:type="spellEnd"/>
      <w:r w:rsidRPr="00D43903">
        <w:rPr>
          <w:rFonts w:asciiTheme="minorHAnsi" w:hAnsiTheme="minorHAnsi" w:cstheme="minorHAnsi"/>
          <w:sz w:val="26"/>
          <w:szCs w:val="26"/>
        </w:rPr>
        <w:t xml:space="preserve">, P.IVA………………………., la stessa potrà richiedere di estendere, con ulteriore integrazione, la presente fideiussione relativa all’anno 2013 anche all’importo spettante per l’anno 2014, secondo le modalità che indicherà la CSEA.  </w:t>
      </w:r>
    </w:p>
    <w:p w:rsidR="009F3633" w:rsidRPr="00D43903" w:rsidRDefault="009F3633" w:rsidP="009F3633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jc w:val="center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Pr="00D43903">
        <w:rPr>
          <w:rFonts w:asciiTheme="minorHAnsi" w:hAnsiTheme="minorHAnsi" w:cstheme="minorHAnsi"/>
          <w:sz w:val="26"/>
          <w:szCs w:val="26"/>
        </w:rPr>
        <w:tab/>
      </w:r>
      <w:r w:rsidR="00406FDD">
        <w:rPr>
          <w:rFonts w:asciiTheme="minorHAnsi" w:hAnsiTheme="minorHAnsi" w:cstheme="minorHAnsi"/>
          <w:sz w:val="26"/>
          <w:szCs w:val="26"/>
        </w:rPr>
        <w:tab/>
        <w:t xml:space="preserve">       </w:t>
      </w:r>
      <w:r w:rsidRPr="00D43903">
        <w:rPr>
          <w:rFonts w:asciiTheme="minorHAnsi" w:hAnsiTheme="minorHAnsi" w:cstheme="minorHAnsi"/>
          <w:sz w:val="26"/>
          <w:szCs w:val="26"/>
        </w:rPr>
        <w:t>Firma del Fideiussore</w:t>
      </w:r>
    </w:p>
    <w:p w:rsidR="009F3633" w:rsidRPr="00D43903" w:rsidRDefault="009F3633" w:rsidP="009F3633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9F3633" w:rsidRPr="00D43903" w:rsidRDefault="009F3633" w:rsidP="009F3633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003582" w:rsidRPr="00D43903" w:rsidRDefault="009F3633" w:rsidP="009F3633">
      <w:pPr>
        <w:ind w:left="567" w:right="640"/>
        <w:rPr>
          <w:rFonts w:asciiTheme="minorHAnsi" w:hAnsiTheme="minorHAnsi" w:cstheme="minorHAnsi"/>
          <w:sz w:val="26"/>
          <w:szCs w:val="26"/>
        </w:rPr>
      </w:pPr>
      <w:r w:rsidRPr="00D43903">
        <w:rPr>
          <w:rFonts w:asciiTheme="minorHAnsi" w:hAnsiTheme="minorHAnsi" w:cstheme="minorHAnsi"/>
          <w:b/>
          <w:sz w:val="26"/>
          <w:szCs w:val="26"/>
        </w:rPr>
        <w:t>*</w:t>
      </w:r>
      <w:r w:rsidRPr="00D43903">
        <w:rPr>
          <w:rFonts w:asciiTheme="minorHAnsi" w:hAnsiTheme="minorHAnsi" w:cstheme="minorHAnsi"/>
          <w:sz w:val="26"/>
          <w:szCs w:val="26"/>
        </w:rPr>
        <w:t>La presente clausola è attivabile ad esclusiva facoltà dell’impresa</w:t>
      </w:r>
    </w:p>
    <w:sectPr w:rsidR="00003582" w:rsidRPr="00D43903">
      <w:footerReference w:type="even" r:id="rId8"/>
      <w:pgSz w:w="11906" w:h="16838" w:code="9"/>
      <w:pgMar w:top="1988" w:right="1134" w:bottom="2169" w:left="1627" w:header="624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A9" w:rsidRDefault="00085AA9">
      <w:r>
        <w:separator/>
      </w:r>
    </w:p>
  </w:endnote>
  <w:endnote w:type="continuationSeparator" w:id="0">
    <w:p w:rsidR="00085AA9" w:rsidRDefault="000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9" w:rsidRDefault="00085A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5AA9" w:rsidRDefault="00085A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A9" w:rsidRDefault="00085AA9">
      <w:r>
        <w:separator/>
      </w:r>
    </w:p>
  </w:footnote>
  <w:footnote w:type="continuationSeparator" w:id="0">
    <w:p w:rsidR="00085AA9" w:rsidRDefault="0008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922"/>
    <w:multiLevelType w:val="hybridMultilevel"/>
    <w:tmpl w:val="29CE35D0"/>
    <w:lvl w:ilvl="0" w:tplc="7110DE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0A1893"/>
    <w:multiLevelType w:val="hybridMultilevel"/>
    <w:tmpl w:val="95881E28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">
    <w:nsid w:val="2B940D11"/>
    <w:multiLevelType w:val="hybridMultilevel"/>
    <w:tmpl w:val="D82CBB9C"/>
    <w:lvl w:ilvl="0" w:tplc="FF423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i w:val="0"/>
        <w:color w:val="006661"/>
        <w:sz w:val="26"/>
      </w:rPr>
    </w:lvl>
    <w:lvl w:ilvl="1" w:tplc="46D8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9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2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A047E"/>
    <w:multiLevelType w:val="hybridMultilevel"/>
    <w:tmpl w:val="E53A77AA"/>
    <w:lvl w:ilvl="0" w:tplc="711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A0858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76020376"/>
    <w:multiLevelType w:val="singleLevel"/>
    <w:tmpl w:val="75E69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661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9697" fill="f" fillcolor="white" stroke="f">
      <v:fill color="white" on="f"/>
      <v:stroke on="f"/>
      <o:colormru v:ext="edit" colors="#20635c,#006661,#066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0"/>
    <w:rsid w:val="00003582"/>
    <w:rsid w:val="00085AA9"/>
    <w:rsid w:val="0009652E"/>
    <w:rsid w:val="000A2CFB"/>
    <w:rsid w:val="000C2150"/>
    <w:rsid w:val="000E2FC0"/>
    <w:rsid w:val="000F28D7"/>
    <w:rsid w:val="000F3382"/>
    <w:rsid w:val="001126EB"/>
    <w:rsid w:val="00112889"/>
    <w:rsid w:val="0011495F"/>
    <w:rsid w:val="00130E35"/>
    <w:rsid w:val="00143529"/>
    <w:rsid w:val="00156FFD"/>
    <w:rsid w:val="001D4ACE"/>
    <w:rsid w:val="001F42CE"/>
    <w:rsid w:val="0020446F"/>
    <w:rsid w:val="00205DED"/>
    <w:rsid w:val="0021629E"/>
    <w:rsid w:val="00252BF8"/>
    <w:rsid w:val="002534EE"/>
    <w:rsid w:val="00254384"/>
    <w:rsid w:val="00285CD9"/>
    <w:rsid w:val="00291E14"/>
    <w:rsid w:val="002B5166"/>
    <w:rsid w:val="002D5EF0"/>
    <w:rsid w:val="00305398"/>
    <w:rsid w:val="00313C1E"/>
    <w:rsid w:val="0035030C"/>
    <w:rsid w:val="003634D3"/>
    <w:rsid w:val="003D3314"/>
    <w:rsid w:val="003E74C5"/>
    <w:rsid w:val="004026D9"/>
    <w:rsid w:val="00406FDD"/>
    <w:rsid w:val="00410F50"/>
    <w:rsid w:val="00411E85"/>
    <w:rsid w:val="00425848"/>
    <w:rsid w:val="00431D41"/>
    <w:rsid w:val="00437F37"/>
    <w:rsid w:val="004729AA"/>
    <w:rsid w:val="00475538"/>
    <w:rsid w:val="004940ED"/>
    <w:rsid w:val="004963D5"/>
    <w:rsid w:val="004A37F3"/>
    <w:rsid w:val="004E5DA9"/>
    <w:rsid w:val="004F4A5A"/>
    <w:rsid w:val="00506332"/>
    <w:rsid w:val="005160A9"/>
    <w:rsid w:val="00521B68"/>
    <w:rsid w:val="00523CBC"/>
    <w:rsid w:val="00532B41"/>
    <w:rsid w:val="0054306C"/>
    <w:rsid w:val="00555204"/>
    <w:rsid w:val="00556C59"/>
    <w:rsid w:val="00560944"/>
    <w:rsid w:val="0057678B"/>
    <w:rsid w:val="00583672"/>
    <w:rsid w:val="00593772"/>
    <w:rsid w:val="005A20C5"/>
    <w:rsid w:val="005F0796"/>
    <w:rsid w:val="006035E8"/>
    <w:rsid w:val="0060616A"/>
    <w:rsid w:val="00636657"/>
    <w:rsid w:val="00671A7F"/>
    <w:rsid w:val="006A5971"/>
    <w:rsid w:val="006B6C13"/>
    <w:rsid w:val="00715424"/>
    <w:rsid w:val="00740D9A"/>
    <w:rsid w:val="007E5FB1"/>
    <w:rsid w:val="007F263F"/>
    <w:rsid w:val="007F43D2"/>
    <w:rsid w:val="008016DE"/>
    <w:rsid w:val="008160C6"/>
    <w:rsid w:val="00830350"/>
    <w:rsid w:val="00832B62"/>
    <w:rsid w:val="008409B8"/>
    <w:rsid w:val="008549F7"/>
    <w:rsid w:val="008D41AF"/>
    <w:rsid w:val="008F170F"/>
    <w:rsid w:val="009329F1"/>
    <w:rsid w:val="009634F6"/>
    <w:rsid w:val="00986CC5"/>
    <w:rsid w:val="009C34A8"/>
    <w:rsid w:val="009E7AD4"/>
    <w:rsid w:val="009F3633"/>
    <w:rsid w:val="00A11BDE"/>
    <w:rsid w:val="00A431CF"/>
    <w:rsid w:val="00A825AB"/>
    <w:rsid w:val="00A876DA"/>
    <w:rsid w:val="00A94960"/>
    <w:rsid w:val="00AA12D5"/>
    <w:rsid w:val="00AA12E3"/>
    <w:rsid w:val="00AB4DBB"/>
    <w:rsid w:val="00AB5088"/>
    <w:rsid w:val="00AD677B"/>
    <w:rsid w:val="00B128EC"/>
    <w:rsid w:val="00B4403E"/>
    <w:rsid w:val="00B73015"/>
    <w:rsid w:val="00B9685A"/>
    <w:rsid w:val="00B96CF1"/>
    <w:rsid w:val="00BB413A"/>
    <w:rsid w:val="00BC643C"/>
    <w:rsid w:val="00BF409E"/>
    <w:rsid w:val="00BF42DC"/>
    <w:rsid w:val="00C03CE0"/>
    <w:rsid w:val="00C320DB"/>
    <w:rsid w:val="00C336F2"/>
    <w:rsid w:val="00C45E91"/>
    <w:rsid w:val="00C60326"/>
    <w:rsid w:val="00D247E7"/>
    <w:rsid w:val="00D2788C"/>
    <w:rsid w:val="00D43903"/>
    <w:rsid w:val="00D46ABD"/>
    <w:rsid w:val="00D55092"/>
    <w:rsid w:val="00D6583F"/>
    <w:rsid w:val="00D9458A"/>
    <w:rsid w:val="00D973CC"/>
    <w:rsid w:val="00DC1254"/>
    <w:rsid w:val="00E01AB5"/>
    <w:rsid w:val="00E57252"/>
    <w:rsid w:val="00EC5172"/>
    <w:rsid w:val="00EF449F"/>
    <w:rsid w:val="00F3564F"/>
    <w:rsid w:val="00F55B06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 fill="f" fillcolor="white" stroke="f">
      <v:fill color="white" on="f"/>
      <v:stroke on="f"/>
      <o:colormru v:ext="edit" colors="#20635c,#006661,#066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685A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685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845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offrire</vt:lpstr>
    </vt:vector>
  </TitlesOfParts>
  <Company>Gruppo MPS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offrire</dc:title>
  <dc:creator>ADINOLFIG</dc:creator>
  <cp:lastModifiedBy>Giada Boscherini</cp:lastModifiedBy>
  <cp:revision>24</cp:revision>
  <cp:lastPrinted>2016-04-12T13:03:00Z</cp:lastPrinted>
  <dcterms:created xsi:type="dcterms:W3CDTF">2016-04-07T12:48:00Z</dcterms:created>
  <dcterms:modified xsi:type="dcterms:W3CDTF">2016-04-13T14:09:00Z</dcterms:modified>
</cp:coreProperties>
</file>