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8D3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9D302C">
        <w:rPr>
          <w:rFonts w:cstheme="minorHAnsi"/>
          <w:color w:val="000000" w:themeColor="text1"/>
        </w:rPr>
        <w:t>c</w:t>
      </w:r>
      <w:r w:rsidRPr="00F16330">
        <w:rPr>
          <w:rFonts w:cstheme="minorHAnsi"/>
          <w:color w:val="000000" w:themeColor="text1"/>
        </w:rPr>
        <w:t xml:space="preserve">onguaglio per il </w:t>
      </w:r>
      <w:r w:rsidR="009D302C">
        <w:rPr>
          <w:rFonts w:cstheme="minorHAnsi"/>
          <w:color w:val="000000" w:themeColor="text1"/>
        </w:rPr>
        <w:t>s</w:t>
      </w:r>
      <w:r w:rsidRPr="00F16330">
        <w:rPr>
          <w:rFonts w:cstheme="minorHAnsi"/>
          <w:color w:val="000000" w:themeColor="text1"/>
        </w:rPr>
        <w:t>ettore</w:t>
      </w:r>
    </w:p>
    <w:p w:rsidR="004D15FF" w:rsidRPr="00F16330" w:rsidRDefault="009D302C" w:rsidP="00A4405E">
      <w:pPr>
        <w:spacing w:after="0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</w:t>
      </w:r>
      <w:r w:rsidR="002102CE" w:rsidRPr="00F16330">
        <w:rPr>
          <w:rFonts w:cstheme="minorHAnsi"/>
          <w:color w:val="000000" w:themeColor="text1"/>
        </w:rPr>
        <w:t>lettrico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A4405E">
      <w:pPr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B8A75" wp14:editId="48DB9A72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EC7" w:rsidRDefault="00CE6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CE6EC7" w:rsidRDefault="00CE6EC7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C12B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 xml:space="preserve">della </w:t>
            </w:r>
            <w:r w:rsidRPr="00831EF8">
              <w:rPr>
                <w:b/>
              </w:rPr>
              <w:t xml:space="preserve">morosità </w:t>
            </w:r>
            <w:r w:rsidR="00C12B6D">
              <w:rPr>
                <w:b/>
              </w:rPr>
              <w:t>dei clienti finali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 xml:space="preserve">Art. 16 </w:t>
            </w:r>
            <w:r w:rsidR="00C12B6D">
              <w:rPr>
                <w:b/>
              </w:rPr>
              <w:t>ter</w:t>
            </w:r>
            <w:r w:rsidRPr="00AB38AB">
              <w:rPr>
                <w:b/>
              </w:rPr>
              <w:t xml:space="preserve">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lastRenderedPageBreak/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al meccanismo di compensazione della morosità </w:t>
      </w:r>
      <w:r w:rsidR="00C12B6D">
        <w:rPr>
          <w:rFonts w:cstheme="minorHAnsi"/>
          <w:color w:val="000000" w:themeColor="text1"/>
        </w:rPr>
        <w:t>dei clienti finali</w:t>
      </w:r>
      <w:r w:rsidRPr="00F16330">
        <w:rPr>
          <w:rFonts w:cstheme="minorHAnsi"/>
          <w:color w:val="000000" w:themeColor="text1"/>
        </w:rPr>
        <w:t xml:space="preserve">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Pr="00F16330">
        <w:rPr>
          <w:rFonts w:cstheme="minorHAnsi"/>
          <w:color w:val="000000" w:themeColor="text1"/>
        </w:rPr>
        <w:t xml:space="preserve">rt. 16 </w:t>
      </w:r>
      <w:r w:rsidR="00C12B6D">
        <w:rPr>
          <w:rFonts w:cstheme="minorHAnsi"/>
          <w:color w:val="000000" w:themeColor="text1"/>
        </w:rPr>
        <w:t>ter</w:t>
      </w:r>
      <w:r w:rsidRPr="00F16330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Cassa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CE6EC7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 w:rsidRPr="00CE6EC7">
        <w:rPr>
          <w:rFonts w:cstheme="minorHAnsi"/>
          <w:color w:val="000000" w:themeColor="text1"/>
        </w:rPr>
        <w:t>il fatturato relativo ai mesi del periodo ottobre 2010-settembre 2011, al netto di eventuali importi fatturati relativi a prelievi fraudolenti dei clienti finali</w:t>
      </w:r>
    </w:p>
    <w:p w:rsidR="00CE6EC7" w:rsidRPr="00CE6EC7" w:rsidRDefault="00CE6EC7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>l’incasso relativo al fatturato di cui al precedente punto 1) rilevato a distanza di 24 mesi</w:t>
      </w:r>
    </w:p>
    <w:p w:rsidR="00332421" w:rsidRPr="00F16330" w:rsidRDefault="00332421" w:rsidP="00332421">
      <w:pPr>
        <w:pStyle w:val="Paragrafoelenco"/>
        <w:spacing w:after="0"/>
        <w:ind w:left="0"/>
        <w:jc w:val="both"/>
        <w:rPr>
          <w:rFonts w:cstheme="minorHAnsi"/>
          <w:color w:val="000000" w:themeColor="text1"/>
        </w:rPr>
      </w:pPr>
    </w:p>
    <w:p w:rsidR="00FA3878" w:rsidRPr="00F16330" w:rsidRDefault="00A4405E" w:rsidP="00FD6E7E">
      <w:pPr>
        <w:pStyle w:val="Paragrafoelenco"/>
        <w:numPr>
          <w:ilvl w:val="0"/>
          <w:numId w:val="8"/>
        </w:numPr>
        <w:jc w:val="both"/>
      </w:pPr>
      <w:bookmarkStart w:id="0" w:name="_GoBack"/>
      <w:bookmarkEnd w:id="0"/>
      <w:r w:rsidRPr="00F16330">
        <w:t xml:space="preserve">di aver posto in essere le azioni </w:t>
      </w:r>
      <w:r w:rsidR="00FA3878" w:rsidRPr="00F16330">
        <w:t xml:space="preserve">di seguito descritte </w:t>
      </w:r>
      <w:r w:rsidRPr="00F16330">
        <w:t>ai fini del recupero degli importi non incassati</w:t>
      </w:r>
      <w:r w:rsidR="00CE6EC7">
        <w:t xml:space="preserve">, come definito all’art 16ter.4 del TIV </w:t>
      </w:r>
      <w:r w:rsidRPr="00F16330">
        <w:t xml:space="preserve"> 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332421" w:rsidP="00CE6EC7">
      <w:pPr>
        <w:spacing w:before="20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F16330">
        <w:rPr>
          <w:rFonts w:cstheme="minorHAnsi"/>
          <w:i/>
          <w:color w:val="000000" w:themeColor="text1"/>
          <w:sz w:val="20"/>
          <w:szCs w:val="20"/>
        </w:rPr>
        <w:t>(descrivere</w:t>
      </w:r>
      <w:r w:rsidR="00FE511D" w:rsidRPr="00FE511D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FE511D">
        <w:rPr>
          <w:rFonts w:cstheme="minorHAnsi"/>
          <w:i/>
          <w:color w:val="000000" w:themeColor="text1"/>
          <w:sz w:val="20"/>
          <w:szCs w:val="20"/>
        </w:rPr>
        <w:t>con il massimo dettaglio</w:t>
      </w:r>
      <w:r w:rsidRPr="00F16330">
        <w:rPr>
          <w:rFonts w:cstheme="minorHAnsi"/>
          <w:i/>
          <w:color w:val="000000" w:themeColor="text1"/>
          <w:sz w:val="20"/>
          <w:szCs w:val="20"/>
        </w:rPr>
        <w:t xml:space="preserve"> le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azioni di gestione e di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recupero del credito ulteriori rispetto alla sola procedura di sospensione del punto di prelievo moroso e, qualora l’attività di recupero del credito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abbia luogo mediante il ricorso ad agenzie di recupero, i criteri </w:t>
      </w:r>
      <w:r w:rsidR="00CE6EC7">
        <w:rPr>
          <w:rFonts w:cstheme="minorHAnsi"/>
          <w:i/>
          <w:color w:val="000000" w:themeColor="text1"/>
          <w:sz w:val="20"/>
          <w:szCs w:val="20"/>
        </w:rPr>
        <w:t>adottati per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 stimolare performance efficienti attraverso le modalità di selezione delle stesse e/o gli strumenti contrattuali volti a stimolare l’efficienza dell’agenzia</w:t>
      </w:r>
      <w:r w:rsidRPr="00F16330">
        <w:rPr>
          <w:rFonts w:cstheme="minorHAnsi"/>
          <w:i/>
          <w:color w:val="000000" w:themeColor="text1"/>
          <w:sz w:val="20"/>
          <w:szCs w:val="20"/>
        </w:rPr>
        <w:t>)</w:t>
      </w:r>
      <w:r w:rsidR="00460131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dichiarazioni di cui ai punti A e B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165750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 (specificare il tipo di documento) ................................................ n. ...............................................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445/2000.</w:t>
      </w: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CD0DED" w:rsidRDefault="00CD0DED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i/>
          <w:color w:val="000000" w:themeColor="text1"/>
          <w:sz w:val="20"/>
          <w:szCs w:val="20"/>
          <w:u w:val="single"/>
        </w:rPr>
        <w:t>Ulteriore a</w:t>
      </w:r>
      <w:r w:rsidR="006C147B" w:rsidRPr="00F16330">
        <w:rPr>
          <w:rFonts w:cstheme="minorHAnsi"/>
          <w:b/>
          <w:i/>
          <w:color w:val="000000" w:themeColor="text1"/>
          <w:sz w:val="20"/>
          <w:szCs w:val="20"/>
          <w:u w:val="single"/>
        </w:rPr>
        <w:t>llegat</w:t>
      </w:r>
      <w:r>
        <w:rPr>
          <w:rFonts w:cstheme="minorHAnsi"/>
          <w:b/>
          <w:i/>
          <w:color w:val="000000" w:themeColor="text1"/>
          <w:sz w:val="20"/>
          <w:szCs w:val="20"/>
          <w:u w:val="single"/>
        </w:rPr>
        <w:t>o</w:t>
      </w:r>
      <w:r w:rsidR="006C147B" w:rsidRPr="00F16330">
        <w:rPr>
          <w:rFonts w:cstheme="minorHAnsi"/>
          <w:b/>
          <w:i/>
          <w:color w:val="000000" w:themeColor="text1"/>
          <w:sz w:val="20"/>
          <w:szCs w:val="20"/>
          <w:u w:val="single"/>
        </w:rPr>
        <w:t xml:space="preserve"> all’istanza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144997" w:rsidRPr="0021120B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20"/>
          <w:szCs w:val="20"/>
        </w:rPr>
        <w:t>R</w:t>
      </w:r>
      <w:r w:rsidR="00F90DC3" w:rsidRPr="0021120B">
        <w:rPr>
          <w:rFonts w:cstheme="minorHAnsi"/>
          <w:color w:val="000000" w:themeColor="text1"/>
          <w:sz w:val="20"/>
          <w:szCs w:val="20"/>
        </w:rPr>
        <w:t>elazione della società di revisione legale che esprima un giudizio di conformità degli importi dichiarati rispetto ai valori esposti nella situazione contabile della società</w:t>
      </w:r>
      <w:r w:rsidR="00144997" w:rsidRPr="0021120B">
        <w:rPr>
          <w:rFonts w:cstheme="minorHAnsi"/>
          <w:color w:val="000000" w:themeColor="text1"/>
          <w:sz w:val="20"/>
          <w:szCs w:val="20"/>
        </w:rPr>
        <w:t>.</w:t>
      </w:r>
      <w:r w:rsidRPr="00CD0DED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T</w:t>
      </w:r>
      <w:r w:rsidRPr="004A007D">
        <w:rPr>
          <w:rFonts w:cstheme="minorHAnsi"/>
          <w:color w:val="000000" w:themeColor="text1"/>
          <w:sz w:val="20"/>
          <w:szCs w:val="20"/>
        </w:rPr>
        <w:t>ale giudizio è espresso sulla base dei principi di revisione contabile utilizzati in sede di redazione del bilancio di esercizio.</w:t>
      </w:r>
    </w:p>
    <w:p w:rsidR="00144997" w:rsidRDefault="00144997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:rsidR="00CD0DED" w:rsidRDefault="00144997" w:rsidP="00CD0DED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21120B">
        <w:rPr>
          <w:rFonts w:cstheme="minorHAnsi"/>
          <w:color w:val="000000" w:themeColor="text1"/>
          <w:sz w:val="20"/>
          <w:szCs w:val="20"/>
        </w:rPr>
        <w:t xml:space="preserve">Nel caso in cui il bilancio di esercizio dell’esercente non sia sottoposto a revisione legale, </w:t>
      </w:r>
      <w:r w:rsidR="00CD0DED">
        <w:rPr>
          <w:rFonts w:cstheme="minorHAnsi"/>
          <w:color w:val="000000" w:themeColor="text1"/>
          <w:sz w:val="20"/>
          <w:szCs w:val="20"/>
        </w:rPr>
        <w:t>firmare</w:t>
      </w:r>
      <w:r w:rsidRPr="0021120B">
        <w:rPr>
          <w:rFonts w:cstheme="minorHAnsi"/>
          <w:color w:val="000000" w:themeColor="text1"/>
          <w:sz w:val="20"/>
          <w:szCs w:val="20"/>
        </w:rPr>
        <w:t xml:space="preserve"> la seguente dichiarazione</w:t>
      </w:r>
      <w:r w:rsidR="00CD0DED">
        <w:rPr>
          <w:rFonts w:cstheme="minorHAnsi"/>
          <w:color w:val="000000" w:themeColor="text1"/>
          <w:sz w:val="20"/>
          <w:szCs w:val="20"/>
        </w:rPr>
        <w:t>.</w:t>
      </w:r>
    </w:p>
    <w:p w:rsidR="006C147B" w:rsidRPr="0021120B" w:rsidRDefault="00CD0DED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Si attesta </w:t>
      </w:r>
      <w:r w:rsidR="00144997" w:rsidRPr="0021120B">
        <w:rPr>
          <w:rFonts w:cstheme="minorHAnsi"/>
          <w:color w:val="000000" w:themeColor="text1"/>
          <w:sz w:val="20"/>
          <w:szCs w:val="20"/>
        </w:rPr>
        <w:t>la veridicità e la correttezza dei valori riportati nell’istanza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Pr="00F16330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sectPr w:rsidR="008F7605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C2" w:rsidRDefault="005E48C2" w:rsidP="00944B06">
      <w:pPr>
        <w:spacing w:after="0" w:line="240" w:lineRule="auto"/>
      </w:pPr>
      <w:r>
        <w:separator/>
      </w:r>
    </w:p>
  </w:endnote>
  <w:endnote w:type="continuationSeparator" w:id="0">
    <w:p w:rsidR="005E48C2" w:rsidRDefault="005E48C2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7" w:rsidRPr="00A21BBF" w:rsidRDefault="00CE6EC7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B2E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C2" w:rsidRDefault="005E48C2" w:rsidP="00944B06">
      <w:pPr>
        <w:spacing w:after="0" w:line="240" w:lineRule="auto"/>
      </w:pPr>
      <w:r>
        <w:separator/>
      </w:r>
    </w:p>
  </w:footnote>
  <w:footnote w:type="continuationSeparator" w:id="0">
    <w:p w:rsidR="005E48C2" w:rsidRDefault="005E48C2" w:rsidP="0094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77E0"/>
    <w:rsid w:val="00127F72"/>
    <w:rsid w:val="00144997"/>
    <w:rsid w:val="00165750"/>
    <w:rsid w:val="00173582"/>
    <w:rsid w:val="00196DDC"/>
    <w:rsid w:val="001C5F24"/>
    <w:rsid w:val="00206C78"/>
    <w:rsid w:val="002102CE"/>
    <w:rsid w:val="00210943"/>
    <w:rsid w:val="0021120B"/>
    <w:rsid w:val="00230369"/>
    <w:rsid w:val="00233074"/>
    <w:rsid w:val="002473E3"/>
    <w:rsid w:val="00271270"/>
    <w:rsid w:val="002A2DDE"/>
    <w:rsid w:val="002C07CF"/>
    <w:rsid w:val="002D1D46"/>
    <w:rsid w:val="00307DBF"/>
    <w:rsid w:val="00332421"/>
    <w:rsid w:val="00372461"/>
    <w:rsid w:val="00373C36"/>
    <w:rsid w:val="00416FCE"/>
    <w:rsid w:val="00420924"/>
    <w:rsid w:val="0044413D"/>
    <w:rsid w:val="00460131"/>
    <w:rsid w:val="00472872"/>
    <w:rsid w:val="004B121E"/>
    <w:rsid w:val="004C66FC"/>
    <w:rsid w:val="004D15FF"/>
    <w:rsid w:val="004D18D3"/>
    <w:rsid w:val="004E21DF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730BB"/>
    <w:rsid w:val="006940EF"/>
    <w:rsid w:val="006C147B"/>
    <w:rsid w:val="006C4A2A"/>
    <w:rsid w:val="007875A4"/>
    <w:rsid w:val="007F4616"/>
    <w:rsid w:val="00805882"/>
    <w:rsid w:val="00805A0E"/>
    <w:rsid w:val="00812D1E"/>
    <w:rsid w:val="00831EF8"/>
    <w:rsid w:val="008456EB"/>
    <w:rsid w:val="008538B8"/>
    <w:rsid w:val="0089702B"/>
    <w:rsid w:val="008D256E"/>
    <w:rsid w:val="008F7605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B38AB"/>
    <w:rsid w:val="00B07C73"/>
    <w:rsid w:val="00B10E9E"/>
    <w:rsid w:val="00B16CE2"/>
    <w:rsid w:val="00B73244"/>
    <w:rsid w:val="00B90000"/>
    <w:rsid w:val="00BC231D"/>
    <w:rsid w:val="00BC4F94"/>
    <w:rsid w:val="00BD21C8"/>
    <w:rsid w:val="00BD3FE1"/>
    <w:rsid w:val="00BE7D3A"/>
    <w:rsid w:val="00C12B6D"/>
    <w:rsid w:val="00C473B2"/>
    <w:rsid w:val="00CD0DED"/>
    <w:rsid w:val="00CE6EC7"/>
    <w:rsid w:val="00CF001B"/>
    <w:rsid w:val="00E147C3"/>
    <w:rsid w:val="00E233E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A9DA-1C1E-453F-A2DE-B4F38C54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cristina alleva</cp:lastModifiedBy>
  <cp:revision>2</cp:revision>
  <cp:lastPrinted>2015-02-26T15:05:00Z</cp:lastPrinted>
  <dcterms:created xsi:type="dcterms:W3CDTF">2015-02-26T16:49:00Z</dcterms:created>
  <dcterms:modified xsi:type="dcterms:W3CDTF">2015-02-26T16:49:00Z</dcterms:modified>
</cp:coreProperties>
</file>